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6F0B" w14:textId="0BC91592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8B04DB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B.9.</w:t>
      </w:r>
      <w:r w:rsidR="009F3C07" w:rsidRPr="00B873D9">
        <w:rPr>
          <w:rFonts w:ascii="Times New Roman" w:hAnsi="Times New Roman" w:cs="Times New Roman"/>
        </w:rPr>
        <w:t>FM.</w:t>
      </w:r>
    </w:p>
    <w:p w14:paraId="5EBBCCB0" w14:textId="77777777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65A87804" w14:textId="25A07B20" w:rsidR="00E302B5" w:rsidRPr="00B873D9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73D9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CHORYCH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NA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RAKA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PIERSI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B873D9">
        <w:rPr>
          <w:rFonts w:ascii="Times New Roman" w:hAnsi="Times New Roman" w:cs="Times New Roman"/>
          <w:b/>
          <w:sz w:val="28"/>
          <w:szCs w:val="28"/>
        </w:rPr>
        <w:t>: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7C3087" w14:paraId="2C7FD928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0B1129DE" w14:textId="4F9C3BDC" w:rsidR="00127F97" w:rsidRPr="007C3087" w:rsidRDefault="00127F97" w:rsidP="00AE7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7C3087" w14:paraId="3B631F57" w14:textId="77777777" w:rsidTr="009E457E">
        <w:trPr>
          <w:trHeight w:val="20"/>
          <w:jc w:val="center"/>
        </w:trPr>
        <w:tc>
          <w:tcPr>
            <w:tcW w:w="6799" w:type="dxa"/>
            <w:vAlign w:val="center"/>
          </w:tcPr>
          <w:p w14:paraId="3FBA8D27" w14:textId="77777777" w:rsidR="00971D9B" w:rsidRPr="007C3087" w:rsidRDefault="00971D9B" w:rsidP="00E757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72C5DECA" w14:textId="2A7AA169" w:rsidR="00971D9B" w:rsidRPr="007C3087" w:rsidRDefault="00E302B5" w:rsidP="00AE7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2C00F27B" w14:textId="76F3F201" w:rsidR="00971D9B" w:rsidRPr="007C3087" w:rsidRDefault="00971D9B" w:rsidP="00AE7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C3087" w14:paraId="40B3D33B" w14:textId="77777777" w:rsidTr="009E457E">
        <w:trPr>
          <w:trHeight w:val="20"/>
          <w:jc w:val="center"/>
        </w:trPr>
        <w:tc>
          <w:tcPr>
            <w:tcW w:w="6799" w:type="dxa"/>
          </w:tcPr>
          <w:p w14:paraId="64B63175" w14:textId="35D120B9" w:rsidR="00705EF6" w:rsidRPr="00AE7613" w:rsidRDefault="00705EF6" w:rsidP="00AE7613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3C944213" w14:textId="039E4E7A" w:rsidR="00705EF6" w:rsidRPr="00AE7613" w:rsidRDefault="008B04DB" w:rsidP="00794B51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trastuzumab;</w:t>
            </w:r>
          </w:p>
          <w:p w14:paraId="1EB7B450" w14:textId="7695BC08" w:rsidR="00705EF6" w:rsidRPr="00AE7613" w:rsidRDefault="008B04DB" w:rsidP="00794B51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pertuzumab;</w:t>
            </w:r>
          </w:p>
          <w:p w14:paraId="088D19A3" w14:textId="01447C40" w:rsidR="00705EF6" w:rsidRPr="00AE7613" w:rsidRDefault="008B04DB" w:rsidP="00794B51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19B7F7" w14:textId="54CE00E3" w:rsidR="00D96DEC" w:rsidRPr="00AE7613" w:rsidRDefault="008B04DB" w:rsidP="00794B51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lapatynib;</w:t>
            </w:r>
          </w:p>
          <w:p w14:paraId="281D3B03" w14:textId="3C06B36C" w:rsidR="00705EF6" w:rsidRPr="00AE7613" w:rsidRDefault="007C3087" w:rsidP="00794B51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ukatynib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FDC014" w14:textId="2C994E52" w:rsidR="00705EF6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7C3087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03167A" w14:textId="35CEB74F" w:rsidR="00705EF6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507B1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6EF86C" w14:textId="77777777" w:rsidR="007C3087" w:rsidRPr="00AE7613" w:rsidRDefault="007C3087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821418" w14:textId="0C38F2C4" w:rsidR="00705EF6" w:rsidRPr="00AE7613" w:rsidRDefault="00612ECE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49CB63" w14:textId="77777777" w:rsidR="00003FDE" w:rsidRPr="00AE7613" w:rsidRDefault="00003FDE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C79BF" w14:textId="463DDE7D" w:rsidR="00705EF6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2FA753A1" w14:textId="24E5AC41" w:rsidR="00705EF6" w:rsidRPr="00AE7613" w:rsidRDefault="00705EF6" w:rsidP="00794B51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4006A7" w14:textId="0CD15174" w:rsidR="00705EF6" w:rsidRPr="00AE7613" w:rsidRDefault="00705EF6" w:rsidP="00794B51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E5CBFA" w14:textId="1C34143E" w:rsidR="00E22435" w:rsidRPr="00AE7613" w:rsidRDefault="00C84355" w:rsidP="00794B51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lapatynib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18A7AC1" w14:textId="007428BA" w:rsidR="00003FDE" w:rsidRPr="00AE7613" w:rsidRDefault="00F9775A" w:rsidP="00794B51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AE7613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anty-HER2.</w:t>
            </w:r>
          </w:p>
          <w:p w14:paraId="5BBF5E8E" w14:textId="77777777" w:rsidR="00A468E5" w:rsidRPr="00AE7613" w:rsidRDefault="00A468E5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3FA0F" w14:textId="23230A45" w:rsidR="00785C79" w:rsidRPr="00AE7613" w:rsidRDefault="00785C7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zastosowania) HER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2FECD0EA" w14:textId="77777777" w:rsidR="0092439E" w:rsidRPr="00AE7613" w:rsidRDefault="0092439E" w:rsidP="00794B51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palbocyklibem;</w:t>
            </w:r>
          </w:p>
          <w:p w14:paraId="2B177514" w14:textId="77777777" w:rsidR="0092439E" w:rsidRPr="00AE7613" w:rsidRDefault="0092439E" w:rsidP="00794B51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rybocyklibem;</w:t>
            </w:r>
          </w:p>
          <w:p w14:paraId="3DF35276" w14:textId="77777777" w:rsidR="0092439E" w:rsidRPr="00AE7613" w:rsidRDefault="0092439E" w:rsidP="00794B51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abemacyklibem;</w:t>
            </w:r>
          </w:p>
          <w:p w14:paraId="3AAF5CAC" w14:textId="77777777" w:rsidR="0092439E" w:rsidRPr="00AE7613" w:rsidRDefault="0092439E" w:rsidP="00794B51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alpelisybem;</w:t>
            </w:r>
          </w:p>
          <w:p w14:paraId="74830A39" w14:textId="77777777" w:rsidR="0092439E" w:rsidRPr="00AE7613" w:rsidRDefault="0092439E" w:rsidP="00794B51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DB060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8BC138" w14:textId="77777777" w:rsidR="00A468E5" w:rsidRPr="00AE7613" w:rsidRDefault="00A468E5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BEC41" w14:textId="518A5634" w:rsidR="00B34502" w:rsidRPr="00AE7613" w:rsidRDefault="00B34502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AE761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2E734B49" w14:textId="1B660E17" w:rsidR="00B34502" w:rsidRPr="00AE7613" w:rsidRDefault="00B34502" w:rsidP="00794B51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1C08E9" w14:textId="7482A21E" w:rsidR="00B34502" w:rsidRPr="00AE7613" w:rsidRDefault="006A38A9" w:rsidP="00794B51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8EA0E0" w14:textId="4D5CB1D2" w:rsidR="00C4087D" w:rsidRPr="00AE7613" w:rsidRDefault="00C4087D" w:rsidP="00794B51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BE56C4" w14:textId="0FD37231" w:rsidR="00C4087D" w:rsidRPr="00AE7613" w:rsidRDefault="00C4087D" w:rsidP="00794B51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1CF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913692F" w14:textId="77777777" w:rsidR="00003FDE" w:rsidRPr="00AE7613" w:rsidRDefault="00003FDE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6EA97" w14:textId="05E47AAE" w:rsidR="007C5B2F" w:rsidRPr="00AE7613" w:rsidRDefault="007C5B2F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90C6382" w14:textId="3E02E8A0" w:rsidR="00B52050" w:rsidRPr="00AE7613" w:rsidRDefault="00B52050" w:rsidP="00794B5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529DBD" w14:textId="77777777" w:rsidR="007C5B2F" w:rsidRPr="00AE7613" w:rsidRDefault="007C5B2F" w:rsidP="00794B5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715CE4AE" w14:textId="0F251D75" w:rsidR="008E0B33" w:rsidRPr="00AE7613" w:rsidRDefault="007C5B2F" w:rsidP="00794B5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91705D" w14:textId="1EA9A83D" w:rsidR="00B52050" w:rsidRPr="00AE7613" w:rsidRDefault="00B5205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22C2486B" w14:textId="77777777" w:rsidR="00EA134C" w:rsidRPr="00AE7613" w:rsidRDefault="00EA134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0E480" w14:textId="553C7F57" w:rsidR="007C5B2F" w:rsidRPr="00AE7613" w:rsidRDefault="007C5B2F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.1.1.-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0445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310BD843" w14:textId="1AE4A3DD" w:rsidR="00B52050" w:rsidRPr="00AE7613" w:rsidRDefault="00B52050" w:rsidP="00794B51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2ABBBF" w14:textId="23A18D51" w:rsidR="006B27B4" w:rsidRPr="00AE7613" w:rsidRDefault="007D1A4B" w:rsidP="00794B51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antr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715F89" w14:textId="17F1787F" w:rsidR="00FF5C60" w:rsidRPr="00AE7613" w:rsidRDefault="00365A2F" w:rsidP="00794B51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57C61298" w14:textId="6517D93D" w:rsidR="00EE2BB0" w:rsidRPr="00AE7613" w:rsidRDefault="00EE2BB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4C6AD9BE" w14:textId="77777777" w:rsidR="00705EF6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03919" w14:textId="50784248" w:rsidR="00971D9B" w:rsidRPr="00AE7613" w:rsidRDefault="00971D9B" w:rsidP="00794B51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670B3D36" w14:textId="632B5F6B" w:rsidR="00971D9B" w:rsidRPr="00AE7613" w:rsidRDefault="00A468E5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51C0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51C0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51C0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51C0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</w:t>
            </w:r>
          </w:p>
          <w:p w14:paraId="3538253F" w14:textId="77777777" w:rsidR="00971D9B" w:rsidRPr="00AE7613" w:rsidRDefault="00971D9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45F9B98E" w14:textId="32C38EA8" w:rsidR="00971D9B" w:rsidRPr="00AE7613" w:rsidRDefault="00A468E5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</w:t>
            </w:r>
          </w:p>
          <w:p w14:paraId="185043FF" w14:textId="3B9A941F" w:rsidR="00971D9B" w:rsidRPr="00AE7613" w:rsidRDefault="00847ACF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A4D4515" w14:textId="070A3B33" w:rsidR="00720F17" w:rsidRPr="00AE7613" w:rsidRDefault="00A468E5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</w:t>
            </w:r>
          </w:p>
          <w:p w14:paraId="6160205A" w14:textId="77777777" w:rsidR="00720F17" w:rsidRPr="00AE7613" w:rsidRDefault="00720F17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3FC601D9" w14:textId="2960F4EA" w:rsidR="00720F17" w:rsidRPr="00AE7613" w:rsidRDefault="00A468E5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trastuzumab</w:t>
            </w:r>
            <w:r w:rsidR="009C05CC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6A64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emtanzyną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A41C3EA" w14:textId="77777777" w:rsidR="00507B13" w:rsidRPr="00AE7613" w:rsidRDefault="00507B13" w:rsidP="00AE761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5B8EE" w14:textId="7BEA50BD" w:rsidR="00971D9B" w:rsidRPr="00AE7613" w:rsidRDefault="00DE6208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E9462E5" w14:textId="27694799" w:rsidR="00971D9B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2DA2BC44" w14:textId="2A786706" w:rsidR="00971D9B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571D44B5" w14:textId="0AAB03D6" w:rsidR="00971D9B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8E1C2F3" w14:textId="23E25E7C" w:rsidR="00971D9B" w:rsidRPr="00AE7613" w:rsidRDefault="00971D9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2800AD09" w14:textId="6A06EAF6" w:rsidR="009C46FB" w:rsidRPr="00AE7613" w:rsidRDefault="009C46FB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3CFAF40F" w14:textId="77777777" w:rsidR="009C46FB" w:rsidRPr="00AE7613" w:rsidRDefault="009C46FB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271A95D" w14:textId="77D640E9" w:rsidR="009C46FB" w:rsidRPr="00AE7613" w:rsidRDefault="009C46FB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7AF3F4" w14:textId="77777777" w:rsidR="00971D9B" w:rsidRPr="00AE7613" w:rsidRDefault="00971D9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50EDC710" w14:textId="7251B7EE" w:rsidR="00971D9B" w:rsidRPr="00AE7613" w:rsidRDefault="00971D9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4CFA7F1D" w14:textId="60DFED79" w:rsidR="009C46FB" w:rsidRPr="00AE7613" w:rsidRDefault="009C46FB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</w:p>
          <w:p w14:paraId="40EB4E42" w14:textId="77777777" w:rsidR="009C46FB" w:rsidRPr="00AE7613" w:rsidRDefault="009C46FB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E2601D6" w14:textId="675EAB65" w:rsidR="009C46FB" w:rsidRPr="00AE7613" w:rsidRDefault="009C46FB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332129A3" w14:textId="77777777" w:rsidR="00971D9B" w:rsidRPr="00AE7613" w:rsidRDefault="009C46F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A472337" w14:textId="48EF736B" w:rsidR="00971D9B" w:rsidRPr="00AE7613" w:rsidRDefault="00971D9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361EB605" w14:textId="34C6965A" w:rsidR="00971D9B" w:rsidRPr="00AE7613" w:rsidRDefault="00971D9B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5339AAC4" w14:textId="77777777" w:rsidR="00971D9B" w:rsidRPr="00AE7613" w:rsidRDefault="00507B13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66590FF2" w14:textId="18E32644" w:rsidR="006A559B" w:rsidRPr="00AE7613" w:rsidRDefault="00F051CF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1C5A297" w14:textId="77777777" w:rsidR="006A559B" w:rsidRPr="00AE7613" w:rsidRDefault="006A559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5FB2F02" w14:textId="0F54919F" w:rsidR="00CD3DB8" w:rsidRPr="00AE7613" w:rsidRDefault="008B04D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trastuzumabem;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472363" w14:textId="77777777" w:rsidR="00CD3DB8" w:rsidRPr="00AE7613" w:rsidRDefault="00CD3DB8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4257EA2" w14:textId="69CCFCBE" w:rsidR="00720F17" w:rsidRPr="00AE7613" w:rsidRDefault="00436F41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77D562" w14:textId="2C60C171" w:rsidR="00F71373" w:rsidRPr="00AE7613" w:rsidRDefault="00F71373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pierwotny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41E3DA" w14:textId="21F21DDF" w:rsidR="00F71373" w:rsidRPr="00AE7613" w:rsidRDefault="009A04A6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CECE1B" w14:textId="139B7513" w:rsidR="009A04A6" w:rsidRPr="00AE7613" w:rsidRDefault="00F71373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C5A637" w14:textId="77777777" w:rsidR="009A04A6" w:rsidRPr="00AE7613" w:rsidRDefault="009A04A6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688685F6" w14:textId="2D02903F" w:rsidR="00350667" w:rsidRPr="00AE7613" w:rsidRDefault="007630B6" w:rsidP="00794B51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CE237C" w14:textId="5F4FEF6A" w:rsidR="00971D9B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7E33FBD9" w14:textId="0FEBC87E" w:rsidR="00971D9B" w:rsidRPr="00AE7613" w:rsidRDefault="00971D9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</w:p>
          <w:p w14:paraId="2B51AFB1" w14:textId="77777777" w:rsidR="00971D9B" w:rsidRPr="00AE7613" w:rsidRDefault="00971D9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7CDD684" w14:textId="1E1E6576" w:rsidR="00971D9B" w:rsidRPr="00AE7613" w:rsidRDefault="00971D9B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2EAB6F27" w14:textId="5ECEDFA0" w:rsidR="00971D9B" w:rsidRPr="00AE7613" w:rsidRDefault="00971D9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1D405E9" w14:textId="5A992597" w:rsidR="00974E59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3DF36DD9" w14:textId="79D0CDB9" w:rsidR="004E61E0" w:rsidRPr="00AE7613" w:rsidRDefault="002A79D8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EC9EC23" w14:textId="29A3C7C4" w:rsidR="00257206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Zubroda-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74BE13" w14:textId="71CFAAEB" w:rsidR="00971D9B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27F1D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24D79E" w14:textId="49BD6F03" w:rsidR="00E27F1D" w:rsidRPr="00AE7613" w:rsidRDefault="00E27F1D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20558C" w14:textId="73B63878" w:rsidR="00221F54" w:rsidRPr="00AE7613" w:rsidRDefault="001C5F0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7FC3EA6" w14:textId="77777777" w:rsidR="00E27F1D" w:rsidRPr="00AE7613" w:rsidRDefault="00E27F1D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A9C88" w14:textId="2E5AFBB8" w:rsidR="00F2763F" w:rsidRPr="00AE7613" w:rsidRDefault="00D96DEC" w:rsidP="00AE7613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Ponadto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HER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717DA563" w14:textId="77777777" w:rsidR="00E27F1D" w:rsidRPr="00AE7613" w:rsidRDefault="00E27F1D" w:rsidP="00AE7613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863FBC7" w14:textId="686EA250" w:rsidR="00E21754" w:rsidRPr="00AE7613" w:rsidRDefault="00E21754" w:rsidP="00794B51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EBECA33" w14:textId="50CCF74E" w:rsidR="00E21754" w:rsidRPr="00AE7613" w:rsidRDefault="00E21754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185FD641" w14:textId="40EDBF99" w:rsidR="00E21754" w:rsidRPr="00AE7613" w:rsidRDefault="00E27F1D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FAB3948" w14:textId="77777777" w:rsidR="00E21754" w:rsidRPr="00AE7613" w:rsidRDefault="00E2175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6C14570" w14:textId="020693EC" w:rsidR="00E21754" w:rsidRPr="00AE7613" w:rsidRDefault="00E27F1D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F91C210" w14:textId="77777777" w:rsidR="00E21754" w:rsidRPr="00AE7613" w:rsidRDefault="00E2175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5CEBAA1" w14:textId="07C05151" w:rsidR="00E21754" w:rsidRPr="00AE7613" w:rsidRDefault="00E27F1D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6DA6BAA" w14:textId="77777777" w:rsidR="00E21754" w:rsidRPr="00AE7613" w:rsidRDefault="00E2175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460FC94" w14:textId="0586917A" w:rsidR="00E21754" w:rsidRPr="00AE7613" w:rsidRDefault="00E27F1D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B90AA2" w14:textId="1EB8D1DD" w:rsidR="002A79D8" w:rsidRPr="00AE7613" w:rsidRDefault="002A79D8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0268DDB" w14:textId="74AE9E1D" w:rsidR="00D96DEC" w:rsidRPr="00AE7613" w:rsidRDefault="00E27F1D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7C66680" w14:textId="77777777" w:rsidR="00471D46" w:rsidRPr="00AE7613" w:rsidRDefault="00471D46" w:rsidP="00AE761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5700D6" w14:textId="58FD350B" w:rsidR="00E21754" w:rsidRPr="00AE7613" w:rsidRDefault="00E2175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71C7DE64" w14:textId="528B4632" w:rsidR="00E21754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1BAB9B91" w14:textId="200F3781" w:rsidR="00E21754" w:rsidRPr="00AE7613" w:rsidRDefault="00E21754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7BB942" w14:textId="77777777" w:rsidR="00E21754" w:rsidRPr="00AE7613" w:rsidRDefault="00E21754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227ED991" w14:textId="17E414F6" w:rsidR="00E21754" w:rsidRPr="00AE7613" w:rsidRDefault="00E21754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776D592D" w14:textId="7E7DA035" w:rsidR="00E21754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39031AD2" w14:textId="3C9DA4C2" w:rsidR="00E21754" w:rsidRPr="00AE7613" w:rsidRDefault="00D96DEC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4728AD5A" w14:textId="1D83F141" w:rsidR="00E21754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8F1EF9" w14:textId="7F065E5B" w:rsidR="00B73A19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53A42906" w14:textId="196D9071" w:rsidR="00471D46" w:rsidRPr="00AE7613" w:rsidRDefault="00673648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BC69AAD" w14:textId="67C02779" w:rsidR="00E21754" w:rsidRPr="00AE7613" w:rsidRDefault="0058227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28D455" w14:textId="124DBFCD" w:rsidR="0041002D" w:rsidRPr="00AE7613" w:rsidRDefault="002A79D8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5266B9E3" w14:textId="23B45F61" w:rsidR="00E21754" w:rsidRPr="00AE7613" w:rsidRDefault="00E2175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9F620CA" w14:textId="77777777" w:rsidR="00705EF6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4D1BC" w14:textId="49E1EF14" w:rsidR="004D1FAC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AFEBF70" w14:textId="77777777" w:rsidR="00555F20" w:rsidRPr="00AE7613" w:rsidRDefault="00555F2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2F09F" w14:textId="377B3CDD" w:rsidR="00A900FD" w:rsidRPr="00AE7613" w:rsidRDefault="00A900FD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DD5F8CB" w14:textId="3B720E51" w:rsidR="00A900FD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B643A8" w14:textId="77777777" w:rsidR="00A900FD" w:rsidRPr="00AE7613" w:rsidRDefault="00D451F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F4E81E9" w14:textId="269EBD76" w:rsidR="00F2763F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1DAA77A" w14:textId="77777777" w:rsidR="00582275" w:rsidRPr="00AE7613" w:rsidRDefault="00582275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C57D95F" w14:textId="341AB9A4" w:rsidR="00E24748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hormonowrażliwego,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13AFA7C" w14:textId="77777777" w:rsidR="00582275" w:rsidRPr="00AE7613" w:rsidRDefault="00582275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EA85351" w14:textId="67886BC0" w:rsidR="00B30CD2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(talazoparybem)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913652" w14:textId="16CA1871" w:rsidR="00C62C88" w:rsidRPr="00AE7613" w:rsidRDefault="00C62C88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DDD735" w14:textId="77777777" w:rsidR="00A900FD" w:rsidRPr="00AE7613" w:rsidRDefault="00A900FD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5E9FD" w14:textId="4EB3D0A6" w:rsidR="00A900FD" w:rsidRPr="00AE7613" w:rsidRDefault="000D0E52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4E3E71AA" w14:textId="69CA056C" w:rsidR="0081296A" w:rsidRPr="00AE7613" w:rsidRDefault="008A17EC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9B702E" w14:textId="4694193E" w:rsidR="00CF0C0F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22B845C" w14:textId="4B918283" w:rsidR="006F4868" w:rsidRPr="00AE7613" w:rsidRDefault="006F4868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5A816342" w14:textId="77777777" w:rsidR="006F4868" w:rsidRPr="00AE7613" w:rsidRDefault="006F4868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0C9D0C4" w14:textId="59F300FE" w:rsidR="002B4593" w:rsidRPr="00AE7613" w:rsidRDefault="006F4868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5ACE5D" w14:textId="606D87B6" w:rsidR="006F4868" w:rsidRPr="00AE7613" w:rsidRDefault="006F4868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AB937D" w14:textId="67FD6D48" w:rsidR="0081296A" w:rsidRPr="00AE7613" w:rsidRDefault="008B04DB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4045E3BF" w14:textId="5F8192B6" w:rsidR="005A45CB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AE7613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3EFF36" w14:textId="2DA5E152" w:rsidR="005A45CB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A31A3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198E1" w14:textId="41546D49" w:rsidR="00C16698" w:rsidRPr="00AE7613" w:rsidRDefault="00585E1C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76E2B68B" w14:textId="6AD170DF" w:rsidR="00D567C1" w:rsidRPr="00AE7613" w:rsidRDefault="00525490" w:rsidP="00794B51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AE7613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81E549" w14:textId="059393E4" w:rsidR="00D567C1" w:rsidRPr="00AE7613" w:rsidRDefault="00D567C1" w:rsidP="00794B51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7C4605D8" w14:textId="7F48CC54" w:rsidR="00D567C1" w:rsidRPr="00AE7613" w:rsidRDefault="00D567C1" w:rsidP="00794B51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5B3811" w14:textId="13F4C27C" w:rsidR="00D567C1" w:rsidRPr="00AE7613" w:rsidRDefault="00D567C1" w:rsidP="00794B51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829CBF" w14:textId="6BBA629E" w:rsidR="00D567C1" w:rsidRPr="00AE7613" w:rsidRDefault="00D567C1" w:rsidP="00794B51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28C42A8C" w14:textId="16D8F449" w:rsidR="00D567C1" w:rsidRPr="00AE7613" w:rsidRDefault="00D567C1" w:rsidP="00794B51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A10A90" w14:textId="0FC0FCEE" w:rsidR="00CC0768" w:rsidRPr="00AE7613" w:rsidRDefault="00A40D9B" w:rsidP="00AE7613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C35287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251EF7A7" w14:textId="4639E129" w:rsidR="00CC0768" w:rsidRPr="00AE7613" w:rsidRDefault="00525490" w:rsidP="00794B51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300F8421" w14:textId="026DD63E" w:rsidR="00CC0768" w:rsidRPr="00AE7613" w:rsidRDefault="00CC0768" w:rsidP="00794B51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4CC43F" w14:textId="7EE6DD27" w:rsidR="00CC0768" w:rsidRPr="00AE7613" w:rsidRDefault="00CC0768" w:rsidP="00794B51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11920F" w14:textId="3FAA3B6E" w:rsidR="00CC0768" w:rsidRPr="00AE7613" w:rsidRDefault="00CC0768" w:rsidP="00794B51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371D15E0" w14:textId="7E2A43D5" w:rsidR="00B16CE2" w:rsidRPr="00AE7613" w:rsidRDefault="00CC0768" w:rsidP="00AE761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DD16B4" w14:textId="3D6985B8" w:rsidR="00A40D9B" w:rsidRPr="00AE7613" w:rsidRDefault="00B16CE2" w:rsidP="00AE7613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r w:rsidR="00454FBC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bookmarkEnd w:id="1"/>
          <w:p w14:paraId="49BCD98C" w14:textId="11EC3B21" w:rsidR="00902BD7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F2A7E6" w14:textId="4C34EE3C" w:rsidR="00902BD7" w:rsidRPr="00AE7613" w:rsidRDefault="00843101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200CCE" w14:textId="09BEA27B" w:rsidR="00F2763F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980431" w14:textId="0B4A06C8" w:rsidR="00B21EAF" w:rsidRPr="00AE7613" w:rsidRDefault="00EA5ADE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7EE59EF8" w14:textId="78E0043D" w:rsidR="00B21EAF" w:rsidRPr="00AE7613" w:rsidRDefault="00B21EAF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1081C2" w14:textId="7F163EFA" w:rsidR="00B21EAF" w:rsidRPr="00AE7613" w:rsidRDefault="00B21EAF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4EDE71" w14:textId="3FB1E03C" w:rsidR="002B4593" w:rsidRPr="00AE7613" w:rsidRDefault="00B21EAF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B895A1" w14:textId="6AA5D033" w:rsidR="00E7150D" w:rsidRPr="00AE7613" w:rsidRDefault="00E7150D" w:rsidP="00AE7613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C35287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26510FA4" w14:textId="75F2D8C2" w:rsidR="009E1F23" w:rsidRPr="00AE7613" w:rsidRDefault="0052549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4F796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D1CB5E" w14:textId="48E848A2" w:rsidR="00C0353C" w:rsidRPr="00AE7613" w:rsidRDefault="00C0353C" w:rsidP="00794B51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</w:p>
          <w:p w14:paraId="21737EE3" w14:textId="77777777" w:rsidR="00C0353C" w:rsidRPr="00AE7613" w:rsidRDefault="00C0353C" w:rsidP="00AE761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6D7849B" w14:textId="22F833CE" w:rsidR="00C0353C" w:rsidRPr="00AE7613" w:rsidRDefault="00C0353C" w:rsidP="00794B51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072CB6" w14:textId="77777777" w:rsidR="00C0353C" w:rsidRPr="00AE7613" w:rsidRDefault="00C0353C" w:rsidP="00AE761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F4B2C5E" w14:textId="71AF8E83" w:rsidR="00C0353C" w:rsidRPr="00AE7613" w:rsidRDefault="00C0353C" w:rsidP="00794B51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71F1DB80" w14:textId="165EEA3B" w:rsidR="0072614E" w:rsidRPr="00AE7613" w:rsidRDefault="00C0353C" w:rsidP="00AE761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7EB708" w14:textId="5EC0FF15" w:rsidR="0072614E" w:rsidRPr="00AE7613" w:rsidRDefault="0072614E" w:rsidP="00AE7613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lastRenderedPageBreak/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C35287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26409FB9" w14:textId="6A82B3FD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3C52AD" w14:textId="6070B63F" w:rsidR="00A75FB2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AE7613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D3C81D9" w14:textId="58970E60" w:rsidR="00A75FB2" w:rsidRPr="00AE7613" w:rsidRDefault="00585E1C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754E5B37" w14:textId="7F33AD49" w:rsidR="00E5155B" w:rsidRPr="00AE7613" w:rsidRDefault="002A79D8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5A0E30B5" w14:textId="14FB1FB7" w:rsidR="004343AD" w:rsidRPr="00AE7613" w:rsidRDefault="004343AD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BC4FAE" w14:textId="77777777" w:rsidR="00EA5ADE" w:rsidRPr="00AE7613" w:rsidRDefault="00EA5ADE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98B31" w14:textId="0B0ED712" w:rsidR="004D1FAC" w:rsidRPr="00AE7613" w:rsidRDefault="00705EF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1F7DD282" w14:textId="77777777" w:rsidR="004343AD" w:rsidRPr="00AE7613" w:rsidRDefault="004343AD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19ACC" w14:textId="3BBE066C" w:rsidR="004343AD" w:rsidRPr="00AE7613" w:rsidRDefault="004343AD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A83ACE" w14:textId="77777777" w:rsidR="00E7571F" w:rsidRPr="00AE7613" w:rsidRDefault="00E7571F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EBB6E" w14:textId="380C1733" w:rsidR="00BA12FD" w:rsidRPr="00AE7613" w:rsidRDefault="00BA12FD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4568EB7E" w14:textId="39ABF42F" w:rsidR="00D43870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05844D3B" w14:textId="0E2E994C" w:rsidR="00D43870" w:rsidRPr="00AE7613" w:rsidRDefault="00D4387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0037D0C7" w14:textId="71418B17" w:rsidR="00D43870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85114CB" w14:textId="77777777" w:rsidR="00D43870" w:rsidRPr="00AE7613" w:rsidRDefault="00D4387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99799EB" w14:textId="64D23B7E" w:rsidR="00D43870" w:rsidRPr="00AE7613" w:rsidRDefault="00EA5ADE" w:rsidP="00794B51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27F8C36F" w14:textId="77777777" w:rsidR="00D43870" w:rsidRPr="00AE7613" w:rsidRDefault="00D4387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6E44DB" w14:textId="1F482DC1" w:rsidR="00D43870" w:rsidRPr="00AE7613" w:rsidRDefault="00D4387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5A543CA1" w14:textId="14C4489B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6CA6D9BB" w14:textId="59A3ACB9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7FBD4B1" w14:textId="58D192CD" w:rsidR="00D43870" w:rsidRPr="00AE7613" w:rsidRDefault="00D43870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731B6A95" w14:textId="77777777" w:rsidR="00D43870" w:rsidRPr="00AE7613" w:rsidRDefault="00D43870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D4BFA0" w14:textId="4006762F" w:rsidR="00D43870" w:rsidRPr="00AE7613" w:rsidRDefault="00D43870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65C853BC" w14:textId="06606145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14141D1" w14:textId="07B14BF6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86C5B1" w14:textId="529A3E1F" w:rsidR="00D43870" w:rsidRPr="00AE7613" w:rsidRDefault="008B04DB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005AFE2E" w14:textId="5BEB57CC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talazoparybu;</w:t>
            </w:r>
          </w:p>
          <w:p w14:paraId="12E2A2F9" w14:textId="38B2FB5B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B92F277" w14:textId="305ED901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6F6C880F" w14:textId="23781ACA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31AC9692" w14:textId="56B6FA9C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51920E7" w14:textId="35AF6844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327AF586" w14:textId="2F3FD2CD" w:rsidR="00D43870" w:rsidRPr="00AE7613" w:rsidRDefault="00CE3409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29DF2F" w14:textId="6AABB66C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); adekwatna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0B63EF2F" w14:textId="4D0409ED" w:rsidR="00D43870" w:rsidRPr="00AE7613" w:rsidRDefault="00D43870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13DBA123" w14:textId="424711FA" w:rsidR="00D43870" w:rsidRPr="00AE7613" w:rsidRDefault="00D43870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C184FE" w14:textId="77777777" w:rsidR="00D43870" w:rsidRPr="00AE7613" w:rsidRDefault="00D43870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7F6D6" w14:textId="020A3E4E" w:rsidR="00D43870" w:rsidRPr="00AE7613" w:rsidRDefault="00D43870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D9C4839" w14:textId="0465659C" w:rsidR="00846E4C" w:rsidRPr="00AE7613" w:rsidRDefault="00846E4C" w:rsidP="00AE761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DAFC3" w14:textId="6AEC2648" w:rsidR="002216B3" w:rsidRPr="00AE7613" w:rsidRDefault="002216B3" w:rsidP="00794B51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7571F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7F8CAAB2" w14:textId="33D09D1F" w:rsidR="002216B3" w:rsidRPr="00AE7613" w:rsidRDefault="00AE7613" w:rsidP="00794B51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kontynu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CA9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74770E23" w14:textId="77777777" w:rsidR="00E7571F" w:rsidRPr="00AE7613" w:rsidRDefault="00E7571F" w:rsidP="00AE761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7D6D38" w14:textId="424FEFB4" w:rsidR="002216B3" w:rsidRPr="00AE7613" w:rsidRDefault="002216B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30D3CF3E" w14:textId="24FA491D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48C24574" w14:textId="48E8CBC6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nieleczony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EF5B5D" w14:textId="7DBB7838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(&lt;1%);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90F206" w14:textId="09A5B985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situ (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2843BC68" w14:textId="45AB371A" w:rsidR="00C84355" w:rsidRPr="00AE7613" w:rsidRDefault="00D3451B" w:rsidP="00794B51">
            <w:pPr>
              <w:pStyle w:val="pf0"/>
              <w:numPr>
                <w:ilvl w:val="3"/>
                <w:numId w:val="7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liniczny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stopień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zaawansowania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T1-4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N1-N2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T2-T4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84355" w:rsidRPr="00AE7613">
              <w:rPr>
                <w:rFonts w:eastAsiaTheme="minorHAnsi"/>
                <w:sz w:val="20"/>
                <w:szCs w:val="20"/>
                <w:lang w:eastAsia="en-US"/>
              </w:rPr>
              <w:t>N0</w:t>
            </w:r>
          </w:p>
          <w:p w14:paraId="5A1AFB82" w14:textId="14FF4785" w:rsidR="002216B3" w:rsidRPr="00AE7613" w:rsidRDefault="00C84355" w:rsidP="00794B51">
            <w:pPr>
              <w:pStyle w:val="pf0"/>
              <w:numPr>
                <w:ilvl w:val="3"/>
                <w:numId w:val="7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216B3" w:rsidRPr="00AE7613">
              <w:rPr>
                <w:rFonts w:eastAsiaTheme="minorHAnsi"/>
                <w:sz w:val="20"/>
                <w:szCs w:val="20"/>
                <w:lang w:eastAsia="en-US"/>
              </w:rPr>
              <w:t>artość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216B3" w:rsidRPr="00AE7613">
              <w:rPr>
                <w:rFonts w:eastAsiaTheme="minorHAnsi"/>
                <w:sz w:val="20"/>
                <w:szCs w:val="20"/>
                <w:lang w:eastAsia="en-US"/>
              </w:rPr>
              <w:t>LVEF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216B3" w:rsidRPr="00AE7613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216B3" w:rsidRPr="00AE7613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216B3" w:rsidRPr="00AE7613">
              <w:rPr>
                <w:rFonts w:eastAsiaTheme="minorHAnsi"/>
                <w:sz w:val="20"/>
                <w:szCs w:val="20"/>
                <w:lang w:eastAsia="en-US"/>
              </w:rPr>
              <w:t>50%;</w:t>
            </w:r>
          </w:p>
          <w:p w14:paraId="582F8B55" w14:textId="33EED6EC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301254E" w14:textId="316D234B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00EA9E" w14:textId="0899AAA1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14357B9A" w14:textId="37099D80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chemioterapii;</w:t>
            </w:r>
          </w:p>
          <w:p w14:paraId="62D3925E" w14:textId="05D84AC9" w:rsidR="002216B3" w:rsidRPr="00AE7613" w:rsidRDefault="00A37CB5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2216B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A30EAA" w14:textId="32526689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autoimmunologicznych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cukrzycy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niedoczynności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tarczycy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suplementacji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hormonalnej,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bielactwa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768CE4" w14:textId="79FD2D13" w:rsidR="002216B3" w:rsidRPr="00AE7613" w:rsidRDefault="002216B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7207C757" w14:textId="4AEB6FEA" w:rsidR="002216B3" w:rsidRPr="00AE7613" w:rsidRDefault="002216B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F773D82" w14:textId="77777777" w:rsidR="002216B3" w:rsidRPr="00AE7613" w:rsidRDefault="002216B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F6318" w14:textId="5D0A948A" w:rsidR="002216B3" w:rsidRPr="00AE7613" w:rsidRDefault="002216B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36DAEC8" w14:textId="0E5674B6" w:rsidR="00850023" w:rsidRPr="00AE7613" w:rsidRDefault="0085002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5B10A" w14:textId="6AE8CA41" w:rsidR="0081296A" w:rsidRPr="00AE7613" w:rsidRDefault="0081296A" w:rsidP="00794B51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A8588A6" w14:textId="1578C9D4" w:rsidR="0081296A" w:rsidRPr="00AE7613" w:rsidRDefault="00C463BB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6FD83519" w14:textId="0C77832E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5479F665" w14:textId="741BED22" w:rsidR="0081296A" w:rsidRPr="00AE7613" w:rsidRDefault="00285486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FFF17F" w14:textId="39AC979C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2FE05427" w14:textId="54D7A480" w:rsidR="0081296A" w:rsidRPr="00AE7613" w:rsidRDefault="0081296A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092CCB" w14:textId="56310596" w:rsidR="0081296A" w:rsidRPr="00AE7613" w:rsidRDefault="0081296A" w:rsidP="00794B5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84350" w14:textId="476BEE8B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30B0631" w14:textId="6FF2C804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48F94D22" w14:textId="30A19C19" w:rsidR="0081296A" w:rsidRPr="00AE7613" w:rsidRDefault="009A7533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A407A6" w14:textId="4598544B" w:rsidR="008233F5" w:rsidRPr="00AE7613" w:rsidRDefault="00103604" w:rsidP="00794B5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1F10E832" w14:textId="0F1E7CBD" w:rsidR="00802CCA" w:rsidRPr="00AE7613" w:rsidRDefault="00802CC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6A88DA5" w14:textId="1A8184FE" w:rsidR="00971D9B" w:rsidRPr="00AE7613" w:rsidRDefault="00971D9B" w:rsidP="00794B51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B4ED7B8" w14:textId="5F729FFA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AB69372" w14:textId="68F3ED72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94361F1" w14:textId="19A3F157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911391D" w14:textId="7592416D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4C8C9D9" w14:textId="3587638A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55F49280" w14:textId="02461D11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2A51E54" w14:textId="59BD7F53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3895096" w14:textId="77777777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55CB1" w14:textId="014CBDDE" w:rsidR="00971D9B" w:rsidRPr="00AE7613" w:rsidRDefault="00971D9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21AFBE" w14:textId="77777777" w:rsidR="00E302B5" w:rsidRPr="00AE7613" w:rsidRDefault="00E302B5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FE3C4" w14:textId="481DC40F" w:rsidR="00EC5D86" w:rsidRPr="00AE7613" w:rsidRDefault="00EC5D86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7B1A493" w14:textId="3D8FA44A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039B74" w14:textId="5BEB0E16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6F9B51" w14:textId="75ABA7E7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A634BD" w14:textId="2D026B24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4206FB" w14:textId="7F53E753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12C099" w14:textId="25351803" w:rsidR="00EC5D86" w:rsidRPr="00AE7613" w:rsidRDefault="00EC5D86" w:rsidP="00794B51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737942" w14:textId="77777777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FC459" w14:textId="1474171B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5E1C6F69" w14:textId="74A5131E" w:rsidR="0040465B" w:rsidRPr="00AE7613" w:rsidRDefault="0040465B" w:rsidP="00794B51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AE7613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03EAEA43" w14:textId="77777777" w:rsidR="0040465B" w:rsidRPr="00AE7613" w:rsidRDefault="0040465B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629BB05" w14:textId="2B4F2BFE" w:rsidR="008363E1" w:rsidRPr="00AE7613" w:rsidRDefault="00626F2A" w:rsidP="00794B51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9F88EDF" w14:textId="77777777" w:rsidR="008363E1" w:rsidRPr="00AE7613" w:rsidRDefault="008363E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DFBF7" w14:textId="10C71D51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050835B6" w14:textId="77777777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127B6" w14:textId="210239B3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725D4B7A" w14:textId="77777777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589C6" w14:textId="6A703697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(neoadjuwantowym)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B232D8C" w14:textId="27E5E349" w:rsidR="0040465B" w:rsidRPr="00AE7613" w:rsidRDefault="0040465B" w:rsidP="00794B51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F972BAD" w14:textId="5FE8E519" w:rsidR="0040465B" w:rsidRPr="00AE7613" w:rsidRDefault="00F2763F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AE7613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736F93" w14:textId="5B525274" w:rsidR="0040465B" w:rsidRPr="00AE7613" w:rsidRDefault="00626F2A" w:rsidP="00794B51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8C5189" w14:textId="77777777" w:rsidR="008363E1" w:rsidRPr="00AE7613" w:rsidRDefault="008363E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0EDC7" w14:textId="465EE7D5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pertuzumabu.</w:t>
            </w:r>
          </w:p>
          <w:p w14:paraId="0C4ED28C" w14:textId="77777777" w:rsidR="0040465B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003E0" w14:textId="7B035662" w:rsidR="00AB086A" w:rsidRPr="00AE7613" w:rsidRDefault="0040465B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D17901" w14:textId="77777777" w:rsidR="009A7533" w:rsidRPr="00AE7613" w:rsidRDefault="009A753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BB98E" w14:textId="4699F821" w:rsidR="0016207C" w:rsidRPr="00AE7613" w:rsidRDefault="0016207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uwantowym)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65AA8481" w14:textId="76A069D8" w:rsidR="0016207C" w:rsidRPr="00AE7613" w:rsidRDefault="0016207C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59AA4146" w14:textId="77777777" w:rsidR="0016207C" w:rsidRPr="00AE7613" w:rsidRDefault="0016207C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396F04B" w14:textId="09850CD8" w:rsidR="0016207C" w:rsidRPr="00AE7613" w:rsidRDefault="0016207C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8D7399" w14:textId="77777777" w:rsidR="0016207C" w:rsidRPr="00AE7613" w:rsidRDefault="0016207C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985BEB" w14:textId="0AEAD7D8" w:rsidR="0016207C" w:rsidRPr="00AE7613" w:rsidRDefault="0016207C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0B2E12" w14:textId="30ADB2D2" w:rsidR="0016207C" w:rsidRPr="00AE7613" w:rsidRDefault="0016207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CF35CD3" w14:textId="77777777" w:rsidR="00F2763F" w:rsidRPr="00AE7613" w:rsidRDefault="00F2763F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D0742" w14:textId="50EA8550" w:rsidR="00FB5526" w:rsidRPr="00AE7613" w:rsidRDefault="00FB5526" w:rsidP="00794B51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734C4B83" w14:textId="3AD6FB9C" w:rsidR="001707CC" w:rsidRPr="00AE7613" w:rsidRDefault="00FB5526" w:rsidP="00794B51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50F9C6F1" w14:textId="580014FA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951EA30" w14:textId="5B708E07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691F6B8" w14:textId="36165CB4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8B2F564" w14:textId="6ED92828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47CE39A" w14:textId="5D139363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263488D4" w14:textId="77777777" w:rsidR="001707CC" w:rsidRPr="00AE7613" w:rsidRDefault="001707C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1E67C" w14:textId="53AC4B2E" w:rsidR="00852B9E" w:rsidRPr="00AE7613" w:rsidRDefault="00852B9E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54A40919" w14:textId="49EFC0D2" w:rsidR="00852B9E" w:rsidRPr="00AE7613" w:rsidRDefault="00852B9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</w:p>
          <w:p w14:paraId="33FDED0F" w14:textId="77777777" w:rsidR="00852B9E" w:rsidRPr="00AE7613" w:rsidRDefault="00852B9E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F7C1E49" w14:textId="5EA57304" w:rsidR="00852B9E" w:rsidRPr="00AE7613" w:rsidRDefault="00852B9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</w:p>
          <w:p w14:paraId="47A29516" w14:textId="77777777" w:rsidR="00EC5D86" w:rsidRPr="00AE7613" w:rsidRDefault="00EC5D86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33E3A2B" w14:textId="4769C48D" w:rsidR="00852B9E" w:rsidRPr="00AE7613" w:rsidRDefault="00852B9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</w:p>
          <w:p w14:paraId="454A60E8" w14:textId="77777777" w:rsidR="00EC5D86" w:rsidRPr="00AE7613" w:rsidRDefault="00EC5D86" w:rsidP="00AE7613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48397" w14:textId="33D91A94" w:rsidR="00FB5526" w:rsidRPr="00AE7613" w:rsidRDefault="007773E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E9137D" w14:textId="11E1A7B0" w:rsidR="00FB5526" w:rsidRPr="00AE7613" w:rsidRDefault="007773E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9DA83B" w14:textId="6998952F" w:rsidR="00FB5526" w:rsidRPr="00AE7613" w:rsidRDefault="007773E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selu: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4BC928" w14:textId="77777777" w:rsidR="00FB5526" w:rsidRPr="00AE7613" w:rsidRDefault="00FB552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0E8C3" w14:textId="01A15B17" w:rsidR="00FB5526" w:rsidRPr="00AE7613" w:rsidRDefault="00836318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6C9E4386" w14:textId="77777777" w:rsidR="00FB5526" w:rsidRPr="00AE7613" w:rsidRDefault="00FB552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15ED9" w14:textId="4F35E828" w:rsidR="00FB5526" w:rsidRPr="00AE7613" w:rsidRDefault="00FB552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79F06559" w14:textId="77777777" w:rsidR="00257206" w:rsidRPr="00AE7613" w:rsidRDefault="0025720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D0238" w14:textId="6B6E5459" w:rsidR="00127F97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lapatynibu: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FACD9F" w14:textId="7951C323" w:rsidR="00FB5526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lapatynibem: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26AF3E34" w14:textId="7B7F0C74" w:rsidR="00FB5526" w:rsidRPr="00AE7613" w:rsidRDefault="00A11A1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emtanzyny: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C751B3" w14:textId="74E532C0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14C3B1" w14:textId="74B0EF86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E1A8E6" w14:textId="50850E4A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C93AE1" w14:textId="618490B8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E4A1EE" w14:textId="77777777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4F948" w14:textId="5195D543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787C267B" w14:textId="77777777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D291B" w14:textId="4EB6B199" w:rsidR="00D96DEC" w:rsidRPr="00AE7613" w:rsidRDefault="00D96DEC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2BF22B08" w14:textId="77777777" w:rsidR="001746F7" w:rsidRPr="00AE7613" w:rsidRDefault="001746F7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2D042" w14:textId="26B894E3" w:rsidR="00642011" w:rsidRPr="00AE7613" w:rsidRDefault="00607872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6AB9DFD8" w14:textId="77777777" w:rsidR="00802CCA" w:rsidRPr="00AE7613" w:rsidRDefault="00802CC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C6A10" w14:textId="4EB6CCF1" w:rsidR="00127F97" w:rsidRPr="00AE7613" w:rsidRDefault="00127F97" w:rsidP="00794B51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479DCBD7" w14:textId="73D3D30C" w:rsidR="00CF560C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A1E3D4" w14:textId="4EDF0D28" w:rsidR="00A70DDF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rybocyklibu: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AE04FF" w14:textId="58CDE4CE" w:rsidR="00E21754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abemacyklibu: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1B028155" w14:textId="5BE3A6F6" w:rsidR="00BE59E7" w:rsidRPr="00AE7613" w:rsidRDefault="00DA6819" w:rsidP="00AE7613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alpelisybu: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4A28536C" w14:textId="3E368F77" w:rsidR="000A3C7C" w:rsidRPr="00AE7613" w:rsidRDefault="00DA681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talazoparybu: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154342" w14:textId="49652820" w:rsidR="00E21754" w:rsidRPr="00AE7613" w:rsidRDefault="00A11A1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AE7613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C1F978" w14:textId="1AB767ED" w:rsidR="00CF560C" w:rsidRPr="00AE7613" w:rsidRDefault="00A11A1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568C36CD" w14:textId="5EC1A8BA" w:rsidR="00CF560C" w:rsidRPr="00AE7613" w:rsidRDefault="009C652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etrozol: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1F37E1" w14:textId="4D47539C" w:rsidR="00CF560C" w:rsidRPr="00AE7613" w:rsidRDefault="009C652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nastrozol: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AF91AC" w14:textId="4AE7E47C" w:rsidR="00CF560C" w:rsidRPr="00AE7613" w:rsidRDefault="009C652E" w:rsidP="00794B51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EC33C3" w14:textId="77777777" w:rsidR="00802CCA" w:rsidRPr="00AE7613" w:rsidRDefault="00802CCA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351A4" w14:textId="31DEADF1" w:rsidR="004343AD" w:rsidRPr="00AE7613" w:rsidRDefault="004343AD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31AFE848" w14:textId="77777777" w:rsidR="00D63865" w:rsidRPr="00AE7613" w:rsidRDefault="00D63865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F8FA8" w14:textId="714969C4" w:rsidR="00606E24" w:rsidRPr="00AE7613" w:rsidRDefault="0025457E" w:rsidP="00AE761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lastRenderedPageBreak/>
              <w:t>aktualną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705D7A6A" w14:textId="77777777" w:rsidR="00802CCA" w:rsidRPr="00AE7613" w:rsidRDefault="00802CCA" w:rsidP="00AE761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1D970D34" w14:textId="3E816A03" w:rsidR="00606E24" w:rsidRPr="00AE7613" w:rsidRDefault="00606E24" w:rsidP="00794B51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98A208D" w14:textId="3BC23F32" w:rsidR="001D167A" w:rsidRPr="00AE7613" w:rsidRDefault="00606E24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C0F1EB9" w14:textId="77777777" w:rsidR="001D167A" w:rsidRPr="00AE7613" w:rsidRDefault="001D167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E742E" w14:textId="294E70B5" w:rsidR="001D167A" w:rsidRPr="00AE7613" w:rsidRDefault="007E124D" w:rsidP="00794B51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2892955" w14:textId="01492039" w:rsidR="007E124D" w:rsidRPr="00AE7613" w:rsidRDefault="007E124D" w:rsidP="00AE7613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57D4C0F0" w14:textId="65D5ED0C" w:rsidR="007E124D" w:rsidRPr="00AE7613" w:rsidRDefault="007E124D" w:rsidP="00AE7613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talazoparybu: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17FA9094" w14:textId="4C28E3C7" w:rsidR="007E124D" w:rsidRPr="00AE7613" w:rsidRDefault="007E124D" w:rsidP="00AE7613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gowitekanu: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4166F9CA" w14:textId="77777777" w:rsidR="00802CCA" w:rsidRPr="00AE7613" w:rsidRDefault="00802CC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51B06" w14:textId="045603D4" w:rsidR="007E124D" w:rsidRPr="00AE7613" w:rsidRDefault="007E124D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3DA089" w14:textId="77777777" w:rsidR="001D167A" w:rsidRPr="00AE7613" w:rsidRDefault="001D167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AA785" w14:textId="37163A9F" w:rsidR="007E124D" w:rsidRPr="00AE7613" w:rsidRDefault="007E124D" w:rsidP="00794B51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332F79F" w14:textId="7F968A25" w:rsidR="004D4CE2" w:rsidRPr="00AE7613" w:rsidRDefault="007E124D" w:rsidP="00AE761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lastRenderedPageBreak/>
              <w:t>wyłączenia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ust.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4.</w:t>
            </w:r>
          </w:p>
          <w:p w14:paraId="68FEC75A" w14:textId="470CEE39" w:rsidR="007E124D" w:rsidRPr="00AE7613" w:rsidRDefault="007E124D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B90A26" w14:textId="089C2AD5" w:rsidR="007F3B76" w:rsidRPr="00AE7613" w:rsidRDefault="0048224C" w:rsidP="00794B51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27BA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714DD810" w14:textId="6B4F8FBC" w:rsidR="00CE3409" w:rsidRPr="00AE7613" w:rsidRDefault="00A1486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167A" w:rsidRPr="00AE7613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724B74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409" w:rsidRPr="00AE7613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342E0A3E" w14:textId="77777777" w:rsidR="00AE65B9" w:rsidRPr="00AE7613" w:rsidRDefault="00AE65B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EA1B41" w14:textId="21385F26" w:rsidR="00283C16" w:rsidRPr="00AE7613" w:rsidRDefault="00283C1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(neoadjuwantowym)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chemioterapią:</w:t>
            </w:r>
          </w:p>
          <w:p w14:paraId="7A24797B" w14:textId="34E92BA8" w:rsidR="00283C16" w:rsidRPr="00AE7613" w:rsidRDefault="00283C16" w:rsidP="00794B51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645560F6" w14:textId="5D925D46" w:rsidR="00283C16" w:rsidRPr="00AE7613" w:rsidRDefault="00283C16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75B22E" w14:textId="5093DE94" w:rsidR="00283C16" w:rsidRPr="00AE7613" w:rsidRDefault="00283C16" w:rsidP="00794B51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</w:p>
          <w:p w14:paraId="50416F5E" w14:textId="77777777" w:rsidR="00283C16" w:rsidRPr="00AE7613" w:rsidRDefault="00283C16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89A60A2" w14:textId="762EFD81" w:rsidR="00283C16" w:rsidRPr="00AE7613" w:rsidRDefault="00283C16" w:rsidP="00794B51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590F5BDB" w14:textId="77777777" w:rsidR="00E7571F" w:rsidRPr="00AE7613" w:rsidRDefault="00E7571F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BFAAF0" w14:textId="3D09BB14" w:rsidR="00CE3409" w:rsidRPr="00AE7613" w:rsidRDefault="00CE340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(adjuwantowym)</w:t>
            </w:r>
            <w:r w:rsidR="00A1486A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217F363" w14:textId="161BD4D9" w:rsidR="00283C16" w:rsidRPr="00AE7613" w:rsidRDefault="00283C16" w:rsidP="00794B5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4BE1142D" w14:textId="77777777" w:rsidR="00283C16" w:rsidRPr="00AE7613" w:rsidRDefault="00283C16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14CFDBD1" w14:textId="62CC8ABC" w:rsidR="00283C16" w:rsidRPr="00AE7613" w:rsidRDefault="00283C16" w:rsidP="00794B5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05308FC3" w14:textId="77777777" w:rsidR="00283C16" w:rsidRPr="00AE7613" w:rsidRDefault="00283C16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307CD1C" w14:textId="1847C463" w:rsidR="00283C16" w:rsidRPr="00AE7613" w:rsidRDefault="00283C16" w:rsidP="00794B5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68ADC490" w14:textId="77777777" w:rsidR="00AE65B9" w:rsidRPr="00AE7613" w:rsidRDefault="00AE65B9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A1ACBB" w14:textId="7031A2BA" w:rsidR="00283C16" w:rsidRPr="00AE7613" w:rsidRDefault="0025457E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59B92E4" w14:textId="77777777" w:rsidR="001D167A" w:rsidRPr="00AE7613" w:rsidRDefault="001D167A" w:rsidP="00AE76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2CF128" w14:textId="77777777" w:rsidR="009E457E" w:rsidRPr="009E457E" w:rsidRDefault="009E457E" w:rsidP="009E457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1D353004" w14:textId="77777777" w:rsidR="009E457E" w:rsidRPr="009E457E" w:rsidRDefault="009E457E" w:rsidP="009E457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496C419F" w14:textId="4A2C368A" w:rsidR="00283C16" w:rsidRPr="00AE7613" w:rsidRDefault="00283C16" w:rsidP="009E457E">
            <w:pPr>
              <w:pStyle w:val="Akapitzlist"/>
              <w:numPr>
                <w:ilvl w:val="1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5A265FB3" w14:textId="1239D65A" w:rsidR="00283C16" w:rsidRPr="00AE7613" w:rsidRDefault="00283C16" w:rsidP="00AE7613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przedoperacyjne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9E45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stosowaniem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chemioterapii.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r w:rsidR="009E45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dawkach.</w:t>
            </w:r>
            <w:r w:rsidR="009E45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pooperacyjnym</w:t>
            </w:r>
            <w:r w:rsidR="005C21E1"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istnieją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radioterapii.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B5A09B4" w14:textId="0E6FC1C3" w:rsidR="00EF30EC" w:rsidRPr="00AE7613" w:rsidRDefault="00EF30EC" w:rsidP="00AE7613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7E124D"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24D" w:rsidRPr="00AE761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B04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D635B2C" w14:textId="77777777" w:rsidR="00DA1041" w:rsidRPr="00AE7613" w:rsidRDefault="00DA1041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37AD6E04" w14:textId="3D384D8C" w:rsidR="00971D9B" w:rsidRPr="00AE7613" w:rsidRDefault="00E302B5" w:rsidP="00794B51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36270CA" w14:textId="0B06A65F" w:rsidR="00E302B5" w:rsidRPr="00AE7613" w:rsidRDefault="00E302B5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28DA6FC" w14:textId="2E6FA79D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4BF4D4" w14:textId="35678D7B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FC3658" w14:textId="2CD73766" w:rsidR="00E302B5" w:rsidRPr="00AE7613" w:rsidRDefault="005226C0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9BD92D3" w14:textId="40F4E3CA" w:rsidR="00E302B5" w:rsidRPr="00AE7613" w:rsidRDefault="005226C0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B6A614" w14:textId="086AC391" w:rsidR="00E302B5" w:rsidRPr="00AE7613" w:rsidRDefault="005226C0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0E502B" w14:textId="7B7C7450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2641AF" w14:textId="44B69A24" w:rsidR="00E302B5" w:rsidRPr="00AE7613" w:rsidRDefault="00FF3AEA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B2BC07" w14:textId="45914D99" w:rsidR="00E302B5" w:rsidRPr="00AE7613" w:rsidRDefault="00FF3AEA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E43022" w14:textId="44FD4D46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176F27" w14:textId="43EC31F1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100D19" w14:textId="77777777" w:rsidR="006115AE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D3616F" w14:textId="0309CF32" w:rsidR="00CA2A5C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4DA1A3" w14:textId="5F59E5DA" w:rsidR="00CD3DB8" w:rsidRPr="00AE7613" w:rsidRDefault="00CD3DB8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3EBA8B" w14:textId="77777777" w:rsidR="00F2763F" w:rsidRPr="00AE7613" w:rsidRDefault="00F2763F" w:rsidP="00AE761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70F2F" w14:textId="54FAF1EC" w:rsidR="00E302B5" w:rsidRPr="00AE7613" w:rsidRDefault="00E302B5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65E49C0" w14:textId="572B9310" w:rsidR="00E302B5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A403620" w14:textId="57BF2C7B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692843" w14:textId="640176BA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93A8CD8" w14:textId="3CACE8C5" w:rsidR="00E302B5" w:rsidRPr="00AE7613" w:rsidRDefault="00BF0632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063A3A13" w14:textId="269992F9" w:rsidR="00E302B5" w:rsidRPr="00AE7613" w:rsidRDefault="005226C0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02D2AB32" w14:textId="08927FD3" w:rsidR="00E302B5" w:rsidRPr="00AE7613" w:rsidRDefault="005226C0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66FE4ACB" w14:textId="322044A9" w:rsidR="009E4FDF" w:rsidRPr="00AE7613" w:rsidRDefault="00E302B5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883F57" w14:textId="416E818E" w:rsidR="00E302B5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tygodni:</w:t>
            </w:r>
          </w:p>
          <w:p w14:paraId="39F2C52C" w14:textId="6BFF2ACA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82F749" w14:textId="75AC2804" w:rsidR="00E302B5" w:rsidRPr="00AE7613" w:rsidRDefault="00E302B5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08557E3E" w14:textId="325AC1CD" w:rsidR="00E302B5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52D8D861" w14:textId="7AB35D98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F1E27E" w14:textId="77777777" w:rsidR="00E302B5" w:rsidRPr="00AE7613" w:rsidRDefault="00E302B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4ADBFC7D" w14:textId="77777777" w:rsidR="009E4FDF" w:rsidRPr="00AE7613" w:rsidRDefault="009E4FDF" w:rsidP="00AE761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2316E" w14:textId="47B0394B" w:rsidR="003F5531" w:rsidRPr="00AE7613" w:rsidRDefault="003F5531" w:rsidP="00794B51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BDF49FC" w14:textId="147C11D9" w:rsidR="00127F97" w:rsidRPr="00AE7613" w:rsidRDefault="00127F97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02640A9" w14:textId="0EECE363" w:rsidR="00127F97" w:rsidRPr="00AE7613" w:rsidRDefault="00467BD1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8B4D63" w14:textId="2E2673E7" w:rsidR="00E95954" w:rsidRPr="00AE7613" w:rsidRDefault="00467BD1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24BF6E" w14:textId="471A642F" w:rsidR="00E95954" w:rsidRPr="00AE7613" w:rsidRDefault="00467BD1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74741F" w14:textId="64714E16" w:rsidR="00861346" w:rsidRPr="00AE7613" w:rsidRDefault="00861346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4232C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D0D186" w14:textId="75726AF9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02F777" w14:textId="36C0ED75" w:rsidR="00127F97" w:rsidRPr="00AE7613" w:rsidRDefault="009518F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DC7EC0" w14:textId="3878C140" w:rsidR="00127F97" w:rsidRPr="00AE7613" w:rsidRDefault="009518F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F76297" w14:textId="4477AC73" w:rsidR="00127F97" w:rsidRPr="00AE7613" w:rsidRDefault="009518F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8E28B3" w14:textId="5A75DF57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815FE8" w14:textId="233AA4D4" w:rsidR="00861346" w:rsidRPr="00AE7613" w:rsidRDefault="00861346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pembrolizumabem,</w:t>
            </w:r>
          </w:p>
          <w:p w14:paraId="6DBC3FCE" w14:textId="012F8595" w:rsidR="008A03D5" w:rsidRPr="00AE7613" w:rsidRDefault="00B95A4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E8A770" w14:textId="4FF6DC6A" w:rsidR="00F314BF" w:rsidRPr="00AE7613" w:rsidRDefault="00F314B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B12"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6C5938" w14:textId="5D318816" w:rsidR="00CA2C66" w:rsidRPr="00AE7613" w:rsidRDefault="00CA2C66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A7718A" w14:textId="2D4B3246" w:rsidR="00127F97" w:rsidRPr="00AE7613" w:rsidRDefault="00D26AC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BB9DD1" w14:textId="2C82AD5E" w:rsidR="00127F97" w:rsidRPr="00AE7613" w:rsidRDefault="00D26AC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A216DE" w14:textId="39B8066C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542879" w14:textId="77777777" w:rsidR="00DE2B35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A1A464" w14:textId="30118DC7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2C6286" w14:textId="337654A1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CC927C" w14:textId="20169DCA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1C76C9" w14:textId="5D5C81CA" w:rsidR="00127F97" w:rsidRPr="00AE7613" w:rsidRDefault="0086134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40093982" w14:textId="77777777" w:rsidR="00AE65B9" w:rsidRPr="00AE7613" w:rsidRDefault="00AE65B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5F1C2" w14:textId="39BBF6EC" w:rsidR="00127F97" w:rsidRPr="00AE7613" w:rsidRDefault="00127F97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8187951" w14:textId="440EFC16" w:rsidR="00127F97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F2EA19" w14:textId="629C6B98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0B9A78" w14:textId="7F144157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31E230" w14:textId="0A2EACB6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FBEF0D4" w14:textId="2D09D35F" w:rsidR="00127F97" w:rsidRPr="00AE7613" w:rsidRDefault="00CA2C66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29C0FD" w14:textId="7ED08F9F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DDB129" w14:textId="0FABD891" w:rsidR="003C057F" w:rsidRPr="00AE7613" w:rsidRDefault="003C057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E22020" w14:textId="1B73EFDD" w:rsidR="003C057F" w:rsidRPr="00AE7613" w:rsidRDefault="003C057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63E109" w14:textId="6BCD3367" w:rsidR="00F9775A" w:rsidRPr="00AE7613" w:rsidRDefault="00F9775A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57E0B6E9" w14:textId="796BAA0D" w:rsidR="00EF3DAA" w:rsidRPr="00AE7613" w:rsidRDefault="00C62C88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F7483C" w14:textId="11C8F1EC" w:rsidR="00C62C88" w:rsidRPr="00AE7613" w:rsidRDefault="008B04DB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pembrolizumabem.</w:t>
            </w:r>
          </w:p>
          <w:p w14:paraId="21A9DC2E" w14:textId="77777777" w:rsidR="00794B51" w:rsidRDefault="00794B51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B131D" w14:textId="12A3D208" w:rsidR="00B817BE" w:rsidRPr="00AE7613" w:rsidRDefault="00B817BE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C394042" w14:textId="72D842CF" w:rsidR="00B817BE" w:rsidRPr="00AE7613" w:rsidRDefault="00B817BE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y,</w:t>
            </w:r>
          </w:p>
          <w:p w14:paraId="3B632694" w14:textId="16EA17D0" w:rsidR="00127F97" w:rsidRPr="00AE7613" w:rsidRDefault="00127F97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CBC651" w14:textId="52C00D73" w:rsidR="00127F97" w:rsidRPr="00AE7613" w:rsidRDefault="008C1BFB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84075D" w14:textId="46D893EE" w:rsidR="007B1577" w:rsidRPr="00AE7613" w:rsidRDefault="00E96108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7B6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6B9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1B50E1" w14:textId="30D5E57D" w:rsidR="005A68BE" w:rsidRPr="00AE7613" w:rsidRDefault="007B1577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8E3C6B" w14:textId="4BDE8117" w:rsidR="00CE4F32" w:rsidRPr="00AE7613" w:rsidRDefault="006246B9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C79B48" w14:textId="64B1AB58" w:rsidR="00EF3DAA" w:rsidRPr="00AE7613" w:rsidRDefault="00EF3DAA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47E5A5" w14:textId="74C5E3B2" w:rsidR="00FA09B0" w:rsidRDefault="00EF3DAA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7C234F" w14:textId="5518F3A5" w:rsidR="00EF3DAA" w:rsidRPr="00AE7613" w:rsidRDefault="00EF3DAA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75A63B" w14:textId="385476F4" w:rsidR="00EF3DAA" w:rsidRPr="00AE7613" w:rsidRDefault="00EF3DAA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CB3897" w14:textId="06AFB0B3" w:rsidR="00127F97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46B506" w14:textId="1A1611FD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9B7B8C" w14:textId="77777777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9DF97ED" w14:textId="237095A1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5EC9E6" w14:textId="571659D8" w:rsidR="00127F97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1743CD7" w14:textId="512E09F6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4EFE77" w14:textId="188A7F09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5884E688" w14:textId="24E6D81D" w:rsidR="00127F97" w:rsidRPr="00AE7613" w:rsidRDefault="00127F97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8CDE4C" w14:textId="72FBAAD6" w:rsidR="00D46E83" w:rsidRPr="00AE7613" w:rsidRDefault="00D46E83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390338" w14:textId="03BCD0C3" w:rsidR="00E96108" w:rsidRPr="00AE7613" w:rsidRDefault="00E96108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9BBE4E" w14:textId="3CC7EEE1" w:rsidR="00861346" w:rsidRPr="00AE7613" w:rsidRDefault="00BF1D1D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5E0C6" w14:textId="052ABFFE" w:rsidR="00861346" w:rsidRPr="00AE7613" w:rsidRDefault="00861346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pembrolizumabu);</w:t>
            </w:r>
          </w:p>
          <w:p w14:paraId="66DDACC6" w14:textId="77777777" w:rsidR="00794B51" w:rsidRDefault="00794B51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4812E" w14:textId="11365B5D" w:rsidR="00861346" w:rsidRPr="00AE7613" w:rsidRDefault="00AE65B9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A4CC548" w14:textId="284AA01D" w:rsidR="00861346" w:rsidRPr="00AE7613" w:rsidRDefault="00861346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3959DC" w14:textId="365D1098" w:rsidR="00861346" w:rsidRPr="00AE7613" w:rsidRDefault="00861346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392CC2" w14:textId="7C296ED5" w:rsidR="00861346" w:rsidRPr="00AE7613" w:rsidRDefault="00861346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klinicznych)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176CE3E" w14:textId="77777777" w:rsidR="00861346" w:rsidRPr="00AE7613" w:rsidRDefault="0086134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2EA1B" w14:textId="29F877CD" w:rsidR="00861346" w:rsidRPr="00AE7613" w:rsidRDefault="0086134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576BCF85" w14:textId="77777777" w:rsidR="00861346" w:rsidRPr="00AE7613" w:rsidRDefault="00861346" w:rsidP="00AE7613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5069E" w14:textId="67BDB8C2" w:rsidR="00861346" w:rsidRPr="00AE7613" w:rsidRDefault="00861346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8DA4AAE" w14:textId="77777777" w:rsidR="002D3BDF" w:rsidRPr="00AE7613" w:rsidRDefault="002D3BDF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DDAF5" w14:textId="251736F4" w:rsidR="001D167A" w:rsidRPr="00AE7613" w:rsidRDefault="0048224C" w:rsidP="00794B51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60F9F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3FDA493E" w14:textId="2351A33A" w:rsidR="002D3BDF" w:rsidRPr="00AE7613" w:rsidRDefault="00D46E83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0E76ED30" w14:textId="5B95D347" w:rsidR="002746A7" w:rsidRPr="00AE7613" w:rsidRDefault="00640144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567A63" w14:textId="35C16593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A21F06" w14:textId="77D9B100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8D1B26" w14:textId="3AC8D3D9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573ED8" w14:textId="0B7E1207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12CD98" w14:textId="0070B7E4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704458" w14:textId="7F1F12A7" w:rsidR="002201D3" w:rsidRPr="00AE7613" w:rsidRDefault="002201D3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fT4;</w:t>
            </w:r>
          </w:p>
          <w:p w14:paraId="166613FE" w14:textId="17DC354A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F85FF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519AD98" w14:textId="33AD9F09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F85F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259482" w14:textId="75479A8F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BF1578" w14:textId="3470EFE8" w:rsidR="002D3BDF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DC254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ED6B02" w14:textId="26E13204" w:rsidR="00FE5520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D60A89" w14:textId="43D5839B" w:rsidR="00FE5520" w:rsidRPr="00AE7613" w:rsidRDefault="002D3BD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9A7B18" w14:textId="3328D7CC" w:rsidR="00FE5520" w:rsidRPr="00AE7613" w:rsidRDefault="00094ED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mammografia,</w:t>
            </w:r>
          </w:p>
          <w:p w14:paraId="2A6B44B1" w14:textId="29DCF732" w:rsidR="00FE5520" w:rsidRPr="00AE7613" w:rsidRDefault="00094ED5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pachowych,</w:t>
            </w:r>
          </w:p>
          <w:p w14:paraId="5D31F733" w14:textId="7C1C9DA1" w:rsidR="00363C5F" w:rsidRPr="00AE7613" w:rsidRDefault="00363C5F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AE7613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AE7613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55101A3C" w14:textId="4CBAE9D0" w:rsidR="00A869DE" w:rsidRPr="00AE7613" w:rsidRDefault="00A869DE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12293D" w14:textId="77777777" w:rsidR="00AE65B9" w:rsidRPr="00AE7613" w:rsidRDefault="00AE65B9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B437D" w14:textId="15399321" w:rsidR="002D3BDF" w:rsidRPr="00AE7613" w:rsidRDefault="00E04103" w:rsidP="00794B5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1E90E7E" w14:textId="69872E77" w:rsidR="004B2F6E" w:rsidRPr="00AE7613" w:rsidRDefault="00AE65B9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16743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646" w:rsidRPr="00AE7613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4DDC9D2" w14:textId="6268B1DB" w:rsidR="004B2F6E" w:rsidRPr="00AE7613" w:rsidRDefault="004B2F6E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6B945328" w14:textId="63030F8C" w:rsidR="004B2F6E" w:rsidRPr="00AE7613" w:rsidRDefault="004B2F6E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0CB8F76E" w14:textId="30CFFCBF" w:rsidR="00FE5520" w:rsidRPr="00AE7613" w:rsidRDefault="004B2F6E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7434ADF4" w14:textId="0386E9FD" w:rsidR="00FE5520" w:rsidRPr="00AE7613" w:rsidRDefault="004B2F6E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AspAT;</w:t>
            </w:r>
          </w:p>
          <w:p w14:paraId="1496EA11" w14:textId="386AC2DC" w:rsidR="00FE5520" w:rsidRPr="00AE7613" w:rsidRDefault="004B2F6E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9F2778D" w14:textId="322124CF" w:rsidR="004840B8" w:rsidRPr="00AE7613" w:rsidRDefault="004840B8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3AD"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3AD"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3A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A63993" w14:textId="5168FCA8" w:rsidR="00AC1AE0" w:rsidRPr="00AE7613" w:rsidRDefault="00AC1AE0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glikemii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D5580C" w14:textId="77777777" w:rsidR="00794B51" w:rsidRDefault="00794B51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78AF9" w14:textId="1DE1DD50" w:rsidR="00D33197" w:rsidRPr="00AE7613" w:rsidRDefault="00E763B3" w:rsidP="00AE761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43EB2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0B40171" w14:textId="518AF13C" w:rsidR="006B26EF" w:rsidRPr="00AE7613" w:rsidRDefault="006B26EF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A81674" w14:textId="5DB1A63A" w:rsidR="006B26EF" w:rsidRPr="00AE7613" w:rsidRDefault="006B26EF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(neoadjuwantowym)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f-g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5DC450" w14:textId="2D4C353A" w:rsidR="004B2F6E" w:rsidRPr="00AE7613" w:rsidRDefault="006B26EF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a-g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40DE51" w14:textId="28CF9A71" w:rsidR="00647471" w:rsidRPr="00AE7613" w:rsidRDefault="00AE7613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D2E5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2E57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471" w:rsidRPr="00AE7613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F306FB6" w14:textId="1545FB4E" w:rsidR="006B03AD" w:rsidRPr="00AE7613" w:rsidRDefault="006B03AD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8E6C8A" w14:textId="669DB6B8" w:rsidR="00EE21C9" w:rsidRPr="00AE7613" w:rsidRDefault="00EE21C9" w:rsidP="00794B51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0C78A7" w14:textId="77777777" w:rsidR="00794B51" w:rsidRDefault="00794B51" w:rsidP="00AE761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92F86" w14:textId="2E146023" w:rsidR="00BF0899" w:rsidRPr="00AE7613" w:rsidRDefault="00BF0899" w:rsidP="00794B5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7AA37D8" w14:textId="67E0A818" w:rsidR="005C21E1" w:rsidRPr="00AE7613" w:rsidRDefault="00EE21C9" w:rsidP="00794B5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9E097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 w:rsidR="005C21E1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097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097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</w:t>
            </w:r>
            <w:r w:rsidR="009E097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</w:t>
            </w:r>
            <w:r w:rsidR="009E0977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punkty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63B84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a-b.</w:t>
            </w:r>
          </w:p>
          <w:p w14:paraId="07CF3E1A" w14:textId="77777777" w:rsidR="005C21E1" w:rsidRPr="00AE7613" w:rsidRDefault="005C21E1" w:rsidP="00AE7613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212CA57" w14:textId="0228989C" w:rsidR="00BA21BA" w:rsidRPr="00AE7613" w:rsidRDefault="00BA21B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21E1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21E1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5C21E1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zamienn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magnetyczn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B89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9F6796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C29F69" w14:textId="77777777" w:rsidR="00AE7613" w:rsidRPr="00AE7613" w:rsidRDefault="00AE7613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90AB4" w14:textId="1E929F5B" w:rsidR="00BA21BA" w:rsidRPr="00AE7613" w:rsidRDefault="00BA21BA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84C5D7A" w14:textId="3C7E55E6" w:rsidR="00957268" w:rsidRPr="00AE7613" w:rsidRDefault="00957268" w:rsidP="00AE76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B0A1B" w14:textId="3DB6516B" w:rsidR="005A38EC" w:rsidRPr="00AE7613" w:rsidRDefault="005A38EC" w:rsidP="00794B51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FDACA0E" w14:textId="41949A6C" w:rsidR="006C5460" w:rsidRPr="00AE7613" w:rsidRDefault="009F3C07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27A786" w14:textId="5473E6D2" w:rsidR="006C5460" w:rsidRPr="00AE7613" w:rsidRDefault="009F3C07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243F25" w14:textId="7F893C26" w:rsidR="00606666" w:rsidRPr="00AE7613" w:rsidRDefault="009F3C07" w:rsidP="00794B5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rejestru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50" w:rsidRPr="00AE7613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57973DA4" w14:textId="67636A63" w:rsidR="005657C9" w:rsidRPr="00AE7613" w:rsidRDefault="005657C9" w:rsidP="00794B51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śmiertelność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249631" w14:textId="7CF557A8" w:rsidR="005657C9" w:rsidRPr="00AE7613" w:rsidRDefault="005657C9" w:rsidP="00794B51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(PFS)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wolne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23E0CB" w14:textId="7C140EFA" w:rsidR="006C5460" w:rsidRPr="00AE7613" w:rsidRDefault="005657C9" w:rsidP="00794B51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(ORR)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pełnej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31%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9D6836" w14:textId="0F10AF17" w:rsidR="005A38EC" w:rsidRPr="00AE7613" w:rsidRDefault="009F3C07" w:rsidP="00794B51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DBB62B0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D601" w14:textId="77777777" w:rsidR="00DD27AE" w:rsidRDefault="00DD27AE" w:rsidP="00E30CF4">
      <w:pPr>
        <w:spacing w:after="0" w:line="240" w:lineRule="auto"/>
      </w:pPr>
      <w:r>
        <w:separator/>
      </w:r>
    </w:p>
  </w:endnote>
  <w:endnote w:type="continuationSeparator" w:id="0">
    <w:p w14:paraId="2510BB91" w14:textId="77777777" w:rsidR="00DD27AE" w:rsidRDefault="00DD27AE" w:rsidP="00E3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7374" w14:textId="77777777" w:rsidR="00DD27AE" w:rsidRDefault="00DD27AE" w:rsidP="00E30CF4">
      <w:pPr>
        <w:spacing w:after="0" w:line="240" w:lineRule="auto"/>
      </w:pPr>
      <w:r>
        <w:separator/>
      </w:r>
    </w:p>
  </w:footnote>
  <w:footnote w:type="continuationSeparator" w:id="0">
    <w:p w14:paraId="0A7B01C0" w14:textId="77777777" w:rsidR="00DD27AE" w:rsidRDefault="00DD27AE" w:rsidP="00E3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458379867">
    <w:abstractNumId w:val="1"/>
  </w:num>
  <w:num w:numId="2" w16cid:durableId="1119181284">
    <w:abstractNumId w:val="6"/>
  </w:num>
  <w:num w:numId="3" w16cid:durableId="50731344">
    <w:abstractNumId w:val="9"/>
  </w:num>
  <w:num w:numId="4" w16cid:durableId="1348211117">
    <w:abstractNumId w:val="7"/>
  </w:num>
  <w:num w:numId="5" w16cid:durableId="426972929">
    <w:abstractNumId w:val="5"/>
  </w:num>
  <w:num w:numId="6" w16cid:durableId="1512913796">
    <w:abstractNumId w:val="12"/>
  </w:num>
  <w:num w:numId="7" w16cid:durableId="351418655">
    <w:abstractNumId w:val="10"/>
  </w:num>
  <w:num w:numId="8" w16cid:durableId="1290091673">
    <w:abstractNumId w:val="8"/>
  </w:num>
  <w:num w:numId="9" w16cid:durableId="1603419020">
    <w:abstractNumId w:val="0"/>
  </w:num>
  <w:num w:numId="10" w16cid:durableId="1883129970">
    <w:abstractNumId w:val="11"/>
  </w:num>
  <w:num w:numId="11" w16cid:durableId="2132551308">
    <w:abstractNumId w:val="14"/>
  </w:num>
  <w:num w:numId="12" w16cid:durableId="1013921015">
    <w:abstractNumId w:val="13"/>
  </w:num>
  <w:num w:numId="13" w16cid:durableId="1781219075">
    <w:abstractNumId w:val="2"/>
  </w:num>
  <w:num w:numId="14" w16cid:durableId="606430938">
    <w:abstractNumId w:val="3"/>
  </w:num>
  <w:num w:numId="15" w16cid:durableId="106433133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0B6"/>
    <w:rsid w:val="00000263"/>
    <w:rsid w:val="00003D64"/>
    <w:rsid w:val="00003FDE"/>
    <w:rsid w:val="000042CB"/>
    <w:rsid w:val="00007894"/>
    <w:rsid w:val="00011428"/>
    <w:rsid w:val="000128B8"/>
    <w:rsid w:val="0001703F"/>
    <w:rsid w:val="000179EB"/>
    <w:rsid w:val="00017E74"/>
    <w:rsid w:val="000243EF"/>
    <w:rsid w:val="000252C9"/>
    <w:rsid w:val="0002535A"/>
    <w:rsid w:val="00031AAF"/>
    <w:rsid w:val="00032EC5"/>
    <w:rsid w:val="0003422A"/>
    <w:rsid w:val="00034D20"/>
    <w:rsid w:val="0003511C"/>
    <w:rsid w:val="000368A8"/>
    <w:rsid w:val="000373EB"/>
    <w:rsid w:val="00040B70"/>
    <w:rsid w:val="00040C5C"/>
    <w:rsid w:val="000453C9"/>
    <w:rsid w:val="00046005"/>
    <w:rsid w:val="000515FD"/>
    <w:rsid w:val="0005639B"/>
    <w:rsid w:val="00060DB6"/>
    <w:rsid w:val="0006500B"/>
    <w:rsid w:val="00080C2A"/>
    <w:rsid w:val="0008395E"/>
    <w:rsid w:val="0008571E"/>
    <w:rsid w:val="00085755"/>
    <w:rsid w:val="00085988"/>
    <w:rsid w:val="00086379"/>
    <w:rsid w:val="00087463"/>
    <w:rsid w:val="00087555"/>
    <w:rsid w:val="00090F70"/>
    <w:rsid w:val="00092BE2"/>
    <w:rsid w:val="00094ED5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C1E68"/>
    <w:rsid w:val="000C2090"/>
    <w:rsid w:val="000C75B6"/>
    <w:rsid w:val="000D0E52"/>
    <w:rsid w:val="000D5778"/>
    <w:rsid w:val="000D7D2D"/>
    <w:rsid w:val="000F39D8"/>
    <w:rsid w:val="00100F8E"/>
    <w:rsid w:val="00102A4A"/>
    <w:rsid w:val="00103042"/>
    <w:rsid w:val="00103604"/>
    <w:rsid w:val="00104C31"/>
    <w:rsid w:val="00107B77"/>
    <w:rsid w:val="0011027A"/>
    <w:rsid w:val="0011175F"/>
    <w:rsid w:val="00111DFD"/>
    <w:rsid w:val="00111F21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4213C"/>
    <w:rsid w:val="001423D8"/>
    <w:rsid w:val="00145133"/>
    <w:rsid w:val="001454DD"/>
    <w:rsid w:val="0016207C"/>
    <w:rsid w:val="0016571B"/>
    <w:rsid w:val="0016703E"/>
    <w:rsid w:val="001707CC"/>
    <w:rsid w:val="001730CE"/>
    <w:rsid w:val="001746F7"/>
    <w:rsid w:val="001750AD"/>
    <w:rsid w:val="00181742"/>
    <w:rsid w:val="00191941"/>
    <w:rsid w:val="00195EAC"/>
    <w:rsid w:val="001A336C"/>
    <w:rsid w:val="001B4529"/>
    <w:rsid w:val="001C30BB"/>
    <w:rsid w:val="001C5F00"/>
    <w:rsid w:val="001D167A"/>
    <w:rsid w:val="001E0A1F"/>
    <w:rsid w:val="001E19D2"/>
    <w:rsid w:val="001E3CF1"/>
    <w:rsid w:val="001E47C7"/>
    <w:rsid w:val="001E535D"/>
    <w:rsid w:val="001E63DA"/>
    <w:rsid w:val="001E6CE7"/>
    <w:rsid w:val="0020079E"/>
    <w:rsid w:val="00202A04"/>
    <w:rsid w:val="002201D3"/>
    <w:rsid w:val="002216B3"/>
    <w:rsid w:val="00221F54"/>
    <w:rsid w:val="002232FD"/>
    <w:rsid w:val="00223A3A"/>
    <w:rsid w:val="00225BDF"/>
    <w:rsid w:val="00230A17"/>
    <w:rsid w:val="0023102B"/>
    <w:rsid w:val="002311E9"/>
    <w:rsid w:val="00231D81"/>
    <w:rsid w:val="00233EF5"/>
    <w:rsid w:val="002351AB"/>
    <w:rsid w:val="0023755B"/>
    <w:rsid w:val="002406F6"/>
    <w:rsid w:val="002435D3"/>
    <w:rsid w:val="002450FB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81EA0"/>
    <w:rsid w:val="00283C16"/>
    <w:rsid w:val="00285486"/>
    <w:rsid w:val="00290180"/>
    <w:rsid w:val="00290560"/>
    <w:rsid w:val="00291F18"/>
    <w:rsid w:val="002A1959"/>
    <w:rsid w:val="002A1A4C"/>
    <w:rsid w:val="002A4EBD"/>
    <w:rsid w:val="002A79D8"/>
    <w:rsid w:val="002B3AB8"/>
    <w:rsid w:val="002B4593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F113D"/>
    <w:rsid w:val="0030499A"/>
    <w:rsid w:val="00310506"/>
    <w:rsid w:val="00314453"/>
    <w:rsid w:val="0031495F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3676"/>
    <w:rsid w:val="00333EE5"/>
    <w:rsid w:val="003359FB"/>
    <w:rsid w:val="00336C2D"/>
    <w:rsid w:val="00336F0B"/>
    <w:rsid w:val="003402EF"/>
    <w:rsid w:val="00343B02"/>
    <w:rsid w:val="00344227"/>
    <w:rsid w:val="00350667"/>
    <w:rsid w:val="0035310F"/>
    <w:rsid w:val="00356216"/>
    <w:rsid w:val="00357518"/>
    <w:rsid w:val="00361F3B"/>
    <w:rsid w:val="00363C5F"/>
    <w:rsid w:val="00364D0B"/>
    <w:rsid w:val="00365A2F"/>
    <w:rsid w:val="00366D62"/>
    <w:rsid w:val="00371F92"/>
    <w:rsid w:val="00376769"/>
    <w:rsid w:val="00380A48"/>
    <w:rsid w:val="00381E4D"/>
    <w:rsid w:val="0038537F"/>
    <w:rsid w:val="003868BA"/>
    <w:rsid w:val="00393D5E"/>
    <w:rsid w:val="0039745B"/>
    <w:rsid w:val="003A20A5"/>
    <w:rsid w:val="003B1671"/>
    <w:rsid w:val="003B3CF5"/>
    <w:rsid w:val="003C057F"/>
    <w:rsid w:val="003C345F"/>
    <w:rsid w:val="003C51C0"/>
    <w:rsid w:val="003C7984"/>
    <w:rsid w:val="003D1606"/>
    <w:rsid w:val="003D2959"/>
    <w:rsid w:val="003D3B0A"/>
    <w:rsid w:val="003D60C1"/>
    <w:rsid w:val="003E0452"/>
    <w:rsid w:val="003E3B91"/>
    <w:rsid w:val="003E40FB"/>
    <w:rsid w:val="003E4851"/>
    <w:rsid w:val="003F0170"/>
    <w:rsid w:val="003F3059"/>
    <w:rsid w:val="003F5531"/>
    <w:rsid w:val="003F66BF"/>
    <w:rsid w:val="003F7008"/>
    <w:rsid w:val="003F7FDB"/>
    <w:rsid w:val="00401794"/>
    <w:rsid w:val="00404428"/>
    <w:rsid w:val="0040465B"/>
    <w:rsid w:val="00405EB8"/>
    <w:rsid w:val="0041002D"/>
    <w:rsid w:val="00410B12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4068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71D46"/>
    <w:rsid w:val="00471EBA"/>
    <w:rsid w:val="00482098"/>
    <w:rsid w:val="0048224C"/>
    <w:rsid w:val="004840B8"/>
    <w:rsid w:val="00485AFD"/>
    <w:rsid w:val="0048640D"/>
    <w:rsid w:val="00487283"/>
    <w:rsid w:val="004909BE"/>
    <w:rsid w:val="004A4ED6"/>
    <w:rsid w:val="004A60C2"/>
    <w:rsid w:val="004A79E8"/>
    <w:rsid w:val="004B0DCB"/>
    <w:rsid w:val="004B2F6E"/>
    <w:rsid w:val="004C33D6"/>
    <w:rsid w:val="004D1FAC"/>
    <w:rsid w:val="004D4CE2"/>
    <w:rsid w:val="004D72F4"/>
    <w:rsid w:val="004D7A56"/>
    <w:rsid w:val="004E0C0F"/>
    <w:rsid w:val="004E18D0"/>
    <w:rsid w:val="004E3993"/>
    <w:rsid w:val="004E4D24"/>
    <w:rsid w:val="004E61E0"/>
    <w:rsid w:val="004F7967"/>
    <w:rsid w:val="00501D31"/>
    <w:rsid w:val="0050222E"/>
    <w:rsid w:val="005061A3"/>
    <w:rsid w:val="00507B13"/>
    <w:rsid w:val="00507EF5"/>
    <w:rsid w:val="0051121A"/>
    <w:rsid w:val="005120B0"/>
    <w:rsid w:val="005226C0"/>
    <w:rsid w:val="0052363C"/>
    <w:rsid w:val="00524131"/>
    <w:rsid w:val="00525490"/>
    <w:rsid w:val="005254FC"/>
    <w:rsid w:val="005334AD"/>
    <w:rsid w:val="00540C0F"/>
    <w:rsid w:val="005447DE"/>
    <w:rsid w:val="00545A80"/>
    <w:rsid w:val="0054628D"/>
    <w:rsid w:val="00553D1B"/>
    <w:rsid w:val="00555C07"/>
    <w:rsid w:val="00555F20"/>
    <w:rsid w:val="00557007"/>
    <w:rsid w:val="005611F4"/>
    <w:rsid w:val="005657C9"/>
    <w:rsid w:val="00565C76"/>
    <w:rsid w:val="00566145"/>
    <w:rsid w:val="00572A5D"/>
    <w:rsid w:val="00572F4C"/>
    <w:rsid w:val="005772F7"/>
    <w:rsid w:val="00582275"/>
    <w:rsid w:val="00583ACD"/>
    <w:rsid w:val="00585E1C"/>
    <w:rsid w:val="005870CF"/>
    <w:rsid w:val="00592695"/>
    <w:rsid w:val="00595510"/>
    <w:rsid w:val="005A0571"/>
    <w:rsid w:val="005A2DF8"/>
    <w:rsid w:val="005A3460"/>
    <w:rsid w:val="005A38EC"/>
    <w:rsid w:val="005A3FC7"/>
    <w:rsid w:val="005A45CB"/>
    <w:rsid w:val="005A5686"/>
    <w:rsid w:val="005A68BE"/>
    <w:rsid w:val="005A784C"/>
    <w:rsid w:val="005B3B41"/>
    <w:rsid w:val="005C183B"/>
    <w:rsid w:val="005C1950"/>
    <w:rsid w:val="005C21E1"/>
    <w:rsid w:val="005C4C1A"/>
    <w:rsid w:val="005C4EA1"/>
    <w:rsid w:val="005C566C"/>
    <w:rsid w:val="005C670B"/>
    <w:rsid w:val="005C78D5"/>
    <w:rsid w:val="005C7D95"/>
    <w:rsid w:val="005D15A3"/>
    <w:rsid w:val="005D373B"/>
    <w:rsid w:val="005D41AE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5F744D"/>
    <w:rsid w:val="00603FB8"/>
    <w:rsid w:val="00606666"/>
    <w:rsid w:val="00606E24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46B9"/>
    <w:rsid w:val="00624776"/>
    <w:rsid w:val="00626F2A"/>
    <w:rsid w:val="00627CA3"/>
    <w:rsid w:val="00631CAD"/>
    <w:rsid w:val="00640144"/>
    <w:rsid w:val="00642011"/>
    <w:rsid w:val="006451A4"/>
    <w:rsid w:val="0064522A"/>
    <w:rsid w:val="00647471"/>
    <w:rsid w:val="006545A7"/>
    <w:rsid w:val="00654DE7"/>
    <w:rsid w:val="006566C6"/>
    <w:rsid w:val="00656A46"/>
    <w:rsid w:val="006573BD"/>
    <w:rsid w:val="00663097"/>
    <w:rsid w:val="0066408B"/>
    <w:rsid w:val="006710D9"/>
    <w:rsid w:val="00673648"/>
    <w:rsid w:val="00674928"/>
    <w:rsid w:val="00682C5C"/>
    <w:rsid w:val="00684593"/>
    <w:rsid w:val="006862B2"/>
    <w:rsid w:val="0069017F"/>
    <w:rsid w:val="00690F4B"/>
    <w:rsid w:val="00691E03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4610"/>
    <w:rsid w:val="006E282B"/>
    <w:rsid w:val="006E3502"/>
    <w:rsid w:val="006F4178"/>
    <w:rsid w:val="006F4868"/>
    <w:rsid w:val="006F4EF8"/>
    <w:rsid w:val="006F5925"/>
    <w:rsid w:val="006F652C"/>
    <w:rsid w:val="007030FE"/>
    <w:rsid w:val="00705EF6"/>
    <w:rsid w:val="00710375"/>
    <w:rsid w:val="00715B82"/>
    <w:rsid w:val="00717D49"/>
    <w:rsid w:val="00720394"/>
    <w:rsid w:val="00720F17"/>
    <w:rsid w:val="00722124"/>
    <w:rsid w:val="007232E5"/>
    <w:rsid w:val="00724B74"/>
    <w:rsid w:val="0072614E"/>
    <w:rsid w:val="0072742D"/>
    <w:rsid w:val="00727A11"/>
    <w:rsid w:val="0073106E"/>
    <w:rsid w:val="007329A5"/>
    <w:rsid w:val="0073638C"/>
    <w:rsid w:val="007410AC"/>
    <w:rsid w:val="007413CF"/>
    <w:rsid w:val="00743EAD"/>
    <w:rsid w:val="00753490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5C79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9C3"/>
    <w:rsid w:val="007C3087"/>
    <w:rsid w:val="007C32D0"/>
    <w:rsid w:val="007C495E"/>
    <w:rsid w:val="007C4F43"/>
    <w:rsid w:val="007C5B2F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10835"/>
    <w:rsid w:val="00811004"/>
    <w:rsid w:val="0081296A"/>
    <w:rsid w:val="00821E0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E4C"/>
    <w:rsid w:val="008470E0"/>
    <w:rsid w:val="00847201"/>
    <w:rsid w:val="00847ACF"/>
    <w:rsid w:val="00850023"/>
    <w:rsid w:val="00852B9E"/>
    <w:rsid w:val="00853729"/>
    <w:rsid w:val="00861346"/>
    <w:rsid w:val="008648FE"/>
    <w:rsid w:val="00871D6C"/>
    <w:rsid w:val="00873A12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7EC"/>
    <w:rsid w:val="008A1E23"/>
    <w:rsid w:val="008A462F"/>
    <w:rsid w:val="008A58CF"/>
    <w:rsid w:val="008A5ACF"/>
    <w:rsid w:val="008A5FA3"/>
    <w:rsid w:val="008B04DB"/>
    <w:rsid w:val="008B3A50"/>
    <w:rsid w:val="008B571E"/>
    <w:rsid w:val="008B7802"/>
    <w:rsid w:val="008C1BFB"/>
    <w:rsid w:val="008C6ABD"/>
    <w:rsid w:val="008D29CC"/>
    <w:rsid w:val="008D30B5"/>
    <w:rsid w:val="008D6750"/>
    <w:rsid w:val="008E0B33"/>
    <w:rsid w:val="008E5A33"/>
    <w:rsid w:val="008F2EF4"/>
    <w:rsid w:val="008F658E"/>
    <w:rsid w:val="009015D8"/>
    <w:rsid w:val="00902BD7"/>
    <w:rsid w:val="00905EF2"/>
    <w:rsid w:val="00907CAC"/>
    <w:rsid w:val="0091052D"/>
    <w:rsid w:val="00917924"/>
    <w:rsid w:val="00917B1B"/>
    <w:rsid w:val="0092327A"/>
    <w:rsid w:val="0092439E"/>
    <w:rsid w:val="00924854"/>
    <w:rsid w:val="009248AB"/>
    <w:rsid w:val="009301CC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70D9F"/>
    <w:rsid w:val="00971843"/>
    <w:rsid w:val="00971D9B"/>
    <w:rsid w:val="009724F5"/>
    <w:rsid w:val="00974314"/>
    <w:rsid w:val="00974E59"/>
    <w:rsid w:val="00976333"/>
    <w:rsid w:val="009817A5"/>
    <w:rsid w:val="00985537"/>
    <w:rsid w:val="00987EE6"/>
    <w:rsid w:val="00990F1C"/>
    <w:rsid w:val="00997284"/>
    <w:rsid w:val="00997629"/>
    <w:rsid w:val="009A04A6"/>
    <w:rsid w:val="009A1DCA"/>
    <w:rsid w:val="009A24E5"/>
    <w:rsid w:val="009A44A0"/>
    <w:rsid w:val="009A45D0"/>
    <w:rsid w:val="009A7533"/>
    <w:rsid w:val="009B1961"/>
    <w:rsid w:val="009B3441"/>
    <w:rsid w:val="009B382E"/>
    <w:rsid w:val="009B57BB"/>
    <w:rsid w:val="009B626E"/>
    <w:rsid w:val="009C05CC"/>
    <w:rsid w:val="009C3AC2"/>
    <w:rsid w:val="009C46FB"/>
    <w:rsid w:val="009C544C"/>
    <w:rsid w:val="009C652E"/>
    <w:rsid w:val="009C6984"/>
    <w:rsid w:val="009E0020"/>
    <w:rsid w:val="009E0977"/>
    <w:rsid w:val="009E1F23"/>
    <w:rsid w:val="009E457E"/>
    <w:rsid w:val="009E4FDF"/>
    <w:rsid w:val="009F225B"/>
    <w:rsid w:val="009F314E"/>
    <w:rsid w:val="009F3C07"/>
    <w:rsid w:val="009F6796"/>
    <w:rsid w:val="009F75AC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486A"/>
    <w:rsid w:val="00A24039"/>
    <w:rsid w:val="00A276E1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47B3"/>
    <w:rsid w:val="00AA6229"/>
    <w:rsid w:val="00AB086A"/>
    <w:rsid w:val="00AB4360"/>
    <w:rsid w:val="00AC18ED"/>
    <w:rsid w:val="00AC1AE0"/>
    <w:rsid w:val="00AC2214"/>
    <w:rsid w:val="00AC6E9D"/>
    <w:rsid w:val="00AD20F0"/>
    <w:rsid w:val="00AD35FD"/>
    <w:rsid w:val="00AD3657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65B9"/>
    <w:rsid w:val="00AE7613"/>
    <w:rsid w:val="00AF7668"/>
    <w:rsid w:val="00B02E54"/>
    <w:rsid w:val="00B04457"/>
    <w:rsid w:val="00B115B3"/>
    <w:rsid w:val="00B11A4C"/>
    <w:rsid w:val="00B1327D"/>
    <w:rsid w:val="00B13484"/>
    <w:rsid w:val="00B1370A"/>
    <w:rsid w:val="00B16063"/>
    <w:rsid w:val="00B16CE2"/>
    <w:rsid w:val="00B215BF"/>
    <w:rsid w:val="00B21EAF"/>
    <w:rsid w:val="00B22C7B"/>
    <w:rsid w:val="00B23CDF"/>
    <w:rsid w:val="00B25A69"/>
    <w:rsid w:val="00B30CD2"/>
    <w:rsid w:val="00B321EB"/>
    <w:rsid w:val="00B34502"/>
    <w:rsid w:val="00B357CE"/>
    <w:rsid w:val="00B4095C"/>
    <w:rsid w:val="00B419F9"/>
    <w:rsid w:val="00B4621E"/>
    <w:rsid w:val="00B475C5"/>
    <w:rsid w:val="00B52050"/>
    <w:rsid w:val="00B54969"/>
    <w:rsid w:val="00B56425"/>
    <w:rsid w:val="00B63656"/>
    <w:rsid w:val="00B648A4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D1D"/>
    <w:rsid w:val="00BF3397"/>
    <w:rsid w:val="00BF4564"/>
    <w:rsid w:val="00BF6179"/>
    <w:rsid w:val="00BF73FA"/>
    <w:rsid w:val="00C0353C"/>
    <w:rsid w:val="00C04233"/>
    <w:rsid w:val="00C04E94"/>
    <w:rsid w:val="00C05FC8"/>
    <w:rsid w:val="00C06F5B"/>
    <w:rsid w:val="00C0756F"/>
    <w:rsid w:val="00C10653"/>
    <w:rsid w:val="00C16698"/>
    <w:rsid w:val="00C16743"/>
    <w:rsid w:val="00C16A53"/>
    <w:rsid w:val="00C34D0C"/>
    <w:rsid w:val="00C35287"/>
    <w:rsid w:val="00C37FD5"/>
    <w:rsid w:val="00C4087D"/>
    <w:rsid w:val="00C41232"/>
    <w:rsid w:val="00C43BFC"/>
    <w:rsid w:val="00C445BF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60DA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E1061"/>
    <w:rsid w:val="00CE3409"/>
    <w:rsid w:val="00CE3BDE"/>
    <w:rsid w:val="00CE4F32"/>
    <w:rsid w:val="00CE753B"/>
    <w:rsid w:val="00CF0C0F"/>
    <w:rsid w:val="00CF560C"/>
    <w:rsid w:val="00D01D25"/>
    <w:rsid w:val="00D035BF"/>
    <w:rsid w:val="00D118E2"/>
    <w:rsid w:val="00D22F42"/>
    <w:rsid w:val="00D26ACB"/>
    <w:rsid w:val="00D31207"/>
    <w:rsid w:val="00D33197"/>
    <w:rsid w:val="00D3451B"/>
    <w:rsid w:val="00D43870"/>
    <w:rsid w:val="00D451F1"/>
    <w:rsid w:val="00D46E83"/>
    <w:rsid w:val="00D471CD"/>
    <w:rsid w:val="00D50692"/>
    <w:rsid w:val="00D55BEF"/>
    <w:rsid w:val="00D56136"/>
    <w:rsid w:val="00D567C1"/>
    <w:rsid w:val="00D56A40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4D30"/>
    <w:rsid w:val="00D90D29"/>
    <w:rsid w:val="00D945F0"/>
    <w:rsid w:val="00D96AA6"/>
    <w:rsid w:val="00D96AB7"/>
    <w:rsid w:val="00D96DEC"/>
    <w:rsid w:val="00DA1041"/>
    <w:rsid w:val="00DA6819"/>
    <w:rsid w:val="00DA7F4C"/>
    <w:rsid w:val="00DB060C"/>
    <w:rsid w:val="00DB4EE7"/>
    <w:rsid w:val="00DB62A6"/>
    <w:rsid w:val="00DC2543"/>
    <w:rsid w:val="00DC3B68"/>
    <w:rsid w:val="00DC5CFF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B88"/>
    <w:rsid w:val="00E30CF4"/>
    <w:rsid w:val="00E327B6"/>
    <w:rsid w:val="00E33760"/>
    <w:rsid w:val="00E367D2"/>
    <w:rsid w:val="00E41D09"/>
    <w:rsid w:val="00E4360F"/>
    <w:rsid w:val="00E46E18"/>
    <w:rsid w:val="00E5155B"/>
    <w:rsid w:val="00E51F03"/>
    <w:rsid w:val="00E5229E"/>
    <w:rsid w:val="00E559DD"/>
    <w:rsid w:val="00E572A6"/>
    <w:rsid w:val="00E612BF"/>
    <w:rsid w:val="00E6298C"/>
    <w:rsid w:val="00E67EB5"/>
    <w:rsid w:val="00E7150D"/>
    <w:rsid w:val="00E7571F"/>
    <w:rsid w:val="00E763B3"/>
    <w:rsid w:val="00E83968"/>
    <w:rsid w:val="00E85B45"/>
    <w:rsid w:val="00E871E2"/>
    <w:rsid w:val="00E91A3A"/>
    <w:rsid w:val="00E92B86"/>
    <w:rsid w:val="00E95808"/>
    <w:rsid w:val="00E95954"/>
    <w:rsid w:val="00E96108"/>
    <w:rsid w:val="00EA134C"/>
    <w:rsid w:val="00EA2D63"/>
    <w:rsid w:val="00EA395C"/>
    <w:rsid w:val="00EA584C"/>
    <w:rsid w:val="00EA5ADE"/>
    <w:rsid w:val="00EA5CC5"/>
    <w:rsid w:val="00EB3938"/>
    <w:rsid w:val="00EB5044"/>
    <w:rsid w:val="00EB7F06"/>
    <w:rsid w:val="00EC1216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F6F"/>
    <w:rsid w:val="00F15590"/>
    <w:rsid w:val="00F249EF"/>
    <w:rsid w:val="00F2763F"/>
    <w:rsid w:val="00F27BA6"/>
    <w:rsid w:val="00F314BF"/>
    <w:rsid w:val="00F3689C"/>
    <w:rsid w:val="00F40A35"/>
    <w:rsid w:val="00F40FCA"/>
    <w:rsid w:val="00F410F6"/>
    <w:rsid w:val="00F43EB2"/>
    <w:rsid w:val="00F446E4"/>
    <w:rsid w:val="00F50A20"/>
    <w:rsid w:val="00F54722"/>
    <w:rsid w:val="00F567E7"/>
    <w:rsid w:val="00F61155"/>
    <w:rsid w:val="00F62194"/>
    <w:rsid w:val="00F6562C"/>
    <w:rsid w:val="00F71373"/>
    <w:rsid w:val="00F72B89"/>
    <w:rsid w:val="00F73C5D"/>
    <w:rsid w:val="00F7690A"/>
    <w:rsid w:val="00F76E5F"/>
    <w:rsid w:val="00F77B7D"/>
    <w:rsid w:val="00F804EA"/>
    <w:rsid w:val="00F805F9"/>
    <w:rsid w:val="00F8208B"/>
    <w:rsid w:val="00F85FF6"/>
    <w:rsid w:val="00F94DFB"/>
    <w:rsid w:val="00F9775A"/>
    <w:rsid w:val="00FA09B0"/>
    <w:rsid w:val="00FA0EE7"/>
    <w:rsid w:val="00FA1733"/>
    <w:rsid w:val="00FA1A89"/>
    <w:rsid w:val="00FB04E0"/>
    <w:rsid w:val="00FB0C52"/>
    <w:rsid w:val="00FB5063"/>
    <w:rsid w:val="00FB5242"/>
    <w:rsid w:val="00FB5526"/>
    <w:rsid w:val="00FB694F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7BCB5"/>
  <w15:docId w15:val="{2217A7E9-BE2F-40E8-B6BB-B707BF95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4" ma:contentTypeDescription="Utwórz nowy dokument." ma:contentTypeScope="" ma:versionID="2a1c831daa1c0ea6008a82b72c948cd2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194280e6238dc64dc596f9d676a60fbb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4C43E-611A-480E-A564-5EC80F540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4.xml><?xml version="1.0" encoding="utf-8"?>
<ds:datastoreItem xmlns:ds="http://schemas.openxmlformats.org/officeDocument/2006/customXml" ds:itemID="{7B5CA3CB-50CC-4912-A0B2-E0000D8A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18</Pages>
  <Words>6908</Words>
  <Characters>41452</Characters>
  <Application>Microsoft Office Word</Application>
  <DocSecurity>0</DocSecurity>
  <Lines>345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Pypeć Aleksandra</cp:lastModifiedBy>
  <cp:revision>11</cp:revision>
  <dcterms:created xsi:type="dcterms:W3CDTF">2023-06-14T18:32:00Z</dcterms:created>
  <dcterms:modified xsi:type="dcterms:W3CDTF">2023-06-15T05:36:00Z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